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5D5D46B5" w:rsidR="00F4525C" w:rsidRDefault="00406C73" w:rsidP="009B61E5">
      <w:pPr>
        <w:pStyle w:val="VCAADocumenttitle"/>
      </w:pPr>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58075E" w:rsidRPr="0058075E">
            <w:t>VCE Extended Investigation Study Design 2019–202</w:t>
          </w:r>
          <w:r>
            <w:t>4</w:t>
          </w:r>
        </w:sdtContent>
      </w:sdt>
    </w:p>
    <w:p w14:paraId="7D984E1F" w14:textId="4DFC546A" w:rsidR="00B62480" w:rsidRPr="00823962" w:rsidRDefault="00653842" w:rsidP="0060312C">
      <w:pPr>
        <w:pStyle w:val="VCAAHeading3"/>
      </w:pPr>
      <w:bookmarkStart w:id="0" w:name="TemplateOverview"/>
      <w:bookmarkEnd w:id="0"/>
      <w:r>
        <w:t>Updates</w:t>
      </w:r>
      <w:r w:rsidR="000F533A">
        <w:t xml:space="preserve"> effective </w:t>
      </w:r>
      <w:r w:rsidR="0048441D">
        <w:t>1</w:t>
      </w:r>
      <w:r w:rsidR="000F533A">
        <w:t xml:space="preserve"> January 2020</w:t>
      </w:r>
    </w:p>
    <w:p w14:paraId="14754FBC" w14:textId="55870736" w:rsidR="00653842" w:rsidRDefault="00653842" w:rsidP="0060312C">
      <w:pPr>
        <w:pStyle w:val="VCAAHeading3"/>
        <w:spacing w:before="120"/>
        <w:rPr>
          <w:color w:val="000000" w:themeColor="text1"/>
          <w:sz w:val="20"/>
          <w:szCs w:val="22"/>
        </w:rPr>
      </w:pPr>
      <w:r w:rsidRPr="00653842">
        <w:rPr>
          <w:color w:val="000000" w:themeColor="text1"/>
          <w:sz w:val="20"/>
          <w:szCs w:val="22"/>
        </w:rPr>
        <w:t xml:space="preserve">Listed below are amendments to the VCE </w:t>
      </w:r>
      <w:r w:rsidR="003838C5" w:rsidRPr="003838C5">
        <w:rPr>
          <w:color w:val="000000" w:themeColor="text1"/>
          <w:sz w:val="20"/>
          <w:szCs w:val="22"/>
        </w:rPr>
        <w:t xml:space="preserve">Extended Investigation </w:t>
      </w:r>
      <w:r w:rsidRPr="00653842">
        <w:rPr>
          <w:color w:val="000000" w:themeColor="text1"/>
          <w:sz w:val="20"/>
          <w:szCs w:val="22"/>
        </w:rPr>
        <w:t xml:space="preserve">Study Design: </w:t>
      </w:r>
    </w:p>
    <w:tbl>
      <w:tblPr>
        <w:tblStyle w:val="TableGrid"/>
        <w:tblW w:w="5000" w:type="pct"/>
        <w:tblLook w:val="04A0" w:firstRow="1" w:lastRow="0" w:firstColumn="1" w:lastColumn="0" w:noHBand="0" w:noVBand="1"/>
      </w:tblPr>
      <w:tblGrid>
        <w:gridCol w:w="1111"/>
        <w:gridCol w:w="8518"/>
      </w:tblGrid>
      <w:tr w:rsidR="00653842" w14:paraId="7C926778" w14:textId="77777777" w:rsidTr="003838C5">
        <w:tc>
          <w:tcPr>
            <w:tcW w:w="577" w:type="pct"/>
          </w:tcPr>
          <w:p w14:paraId="57A03FD4" w14:textId="05D0C27E" w:rsidR="00653842" w:rsidRDefault="00653842" w:rsidP="00E438B3">
            <w:pPr>
              <w:pStyle w:val="VCAAbody"/>
              <w:spacing w:line="400" w:lineRule="exact"/>
            </w:pPr>
            <w:r>
              <w:t xml:space="preserve">Page </w:t>
            </w:r>
            <w:r w:rsidR="000C53C3">
              <w:t>6</w:t>
            </w:r>
          </w:p>
        </w:tc>
        <w:tc>
          <w:tcPr>
            <w:tcW w:w="4423" w:type="pct"/>
          </w:tcPr>
          <w:p w14:paraId="7EA08EDF" w14:textId="7356D022" w:rsidR="003838C5" w:rsidRPr="000C53C3" w:rsidRDefault="00653842" w:rsidP="00E438B3">
            <w:pPr>
              <w:pStyle w:val="VCAAbody"/>
              <w:spacing w:line="400" w:lineRule="exact"/>
            </w:pPr>
            <w:r>
              <w:t xml:space="preserve">Updated </w:t>
            </w:r>
            <w:r w:rsidR="003838C5">
              <w:t xml:space="preserve">references </w:t>
            </w:r>
            <w:r w:rsidR="000C53C3">
              <w:t xml:space="preserve">under heading </w:t>
            </w:r>
            <w:r w:rsidR="000C53C3" w:rsidRPr="000C53C3">
              <w:rPr>
                <w:i/>
              </w:rPr>
              <w:t>Ethical conduct of investigations</w:t>
            </w:r>
            <w:r w:rsidR="000C53C3">
              <w:t xml:space="preserve">, </w:t>
            </w:r>
            <w:r w:rsidR="002A4F62">
              <w:t>bullet</w:t>
            </w:r>
            <w:r w:rsidR="000C53C3">
              <w:t xml:space="preserve"> point one and two</w:t>
            </w:r>
            <w:r w:rsidR="002A4F62">
              <w:t>:</w:t>
            </w:r>
          </w:p>
          <w:p w14:paraId="3EA9564E" w14:textId="3DD496F3" w:rsidR="003838C5" w:rsidRDefault="003838C5" w:rsidP="00D531F5">
            <w:pPr>
              <w:pStyle w:val="VCAAbullet"/>
              <w:ind w:left="425" w:hanging="425"/>
            </w:pPr>
            <w:r>
              <w:t xml:space="preserve">Australian Code for Responsible Conduct of Research (2007, </w:t>
            </w:r>
            <w:r w:rsidRPr="00F641C5">
              <w:rPr>
                <w:color w:val="FF0000"/>
              </w:rPr>
              <w:t>updated 2018</w:t>
            </w:r>
            <w:r>
              <w:t>)</w:t>
            </w:r>
            <w:r w:rsidR="000C53C3" w:rsidRPr="000C53C3">
              <w:rPr>
                <w:color w:val="FF0000"/>
              </w:rPr>
              <w:t>,</w:t>
            </w:r>
            <w:r>
              <w:t xml:space="preserve"> </w:t>
            </w:r>
            <w:r w:rsidR="000C53C3">
              <w:t xml:space="preserve">issued by National Health and Medical Research Council (NHMRC), Australian Research Council and Universities Australia: </w:t>
            </w:r>
            <w:hyperlink r:id="rId11" w:history="1">
              <w:r w:rsidR="002A4F62" w:rsidRPr="009004D8">
                <w:rPr>
                  <w:rStyle w:val="Hyperlink"/>
                </w:rPr>
                <w:t>www.nhmrc.gov.au</w:t>
              </w:r>
            </w:hyperlink>
            <w:r w:rsidR="002A4F62">
              <w:t xml:space="preserve"> </w:t>
            </w:r>
          </w:p>
          <w:p w14:paraId="39BD8F1E" w14:textId="275D18F4" w:rsidR="00653842" w:rsidRDefault="003838C5" w:rsidP="00D531F5">
            <w:pPr>
              <w:pStyle w:val="VCAAbullet"/>
              <w:ind w:left="425" w:hanging="425"/>
            </w:pPr>
            <w:r>
              <w:t xml:space="preserve">National Statement on Ethical Conduct in Human Research (2007, updated </w:t>
            </w:r>
            <w:r w:rsidRPr="00F641C5">
              <w:rPr>
                <w:color w:val="FF0000"/>
              </w:rPr>
              <w:t>July 2018</w:t>
            </w:r>
            <w:r>
              <w:t>)</w:t>
            </w:r>
            <w:r w:rsidR="000C53C3">
              <w:t>, issued by the National Health and Medical Research Council (NHMRC) in accordance with the National Health and Medical Research Council Act 1992 (</w:t>
            </w:r>
            <w:proofErr w:type="spellStart"/>
            <w:r w:rsidR="000C53C3">
              <w:t>Cwlth</w:t>
            </w:r>
            <w:proofErr w:type="spellEnd"/>
            <w:r w:rsidR="000C53C3">
              <w:t xml:space="preserve">): </w:t>
            </w:r>
            <w:hyperlink r:id="rId12" w:history="1">
              <w:r w:rsidR="002A4F62" w:rsidRPr="009004D8">
                <w:rPr>
                  <w:rStyle w:val="Hyperlink"/>
                </w:rPr>
                <w:t>www.nhmrc.gov.au</w:t>
              </w:r>
            </w:hyperlink>
            <w:r w:rsidR="002A4F62">
              <w:t xml:space="preserve"> </w:t>
            </w:r>
          </w:p>
        </w:tc>
      </w:tr>
      <w:tr w:rsidR="00653842" w14:paraId="4B3CEBDD" w14:textId="77777777" w:rsidTr="003838C5">
        <w:tc>
          <w:tcPr>
            <w:tcW w:w="577" w:type="pct"/>
          </w:tcPr>
          <w:p w14:paraId="179850C5" w14:textId="4523846B" w:rsidR="00653842" w:rsidRDefault="00653842" w:rsidP="00E438B3">
            <w:pPr>
              <w:pStyle w:val="VCAAbody"/>
              <w:spacing w:line="400" w:lineRule="exact"/>
            </w:pPr>
            <w:r>
              <w:t xml:space="preserve">Page </w:t>
            </w:r>
            <w:r w:rsidR="000C53C3">
              <w:t>8</w:t>
            </w:r>
          </w:p>
        </w:tc>
        <w:tc>
          <w:tcPr>
            <w:tcW w:w="4423" w:type="pct"/>
          </w:tcPr>
          <w:p w14:paraId="31D698EF" w14:textId="195812A3" w:rsidR="00653842" w:rsidRPr="000C53C3" w:rsidRDefault="00766B6C" w:rsidP="00E438B3">
            <w:pPr>
              <w:pStyle w:val="VCAAbody"/>
              <w:spacing w:line="400" w:lineRule="exact"/>
              <w:rPr>
                <w:i/>
              </w:rPr>
            </w:pPr>
            <w:r>
              <w:t xml:space="preserve">Updated </w:t>
            </w:r>
            <w:r w:rsidR="000C53C3">
              <w:t xml:space="preserve">text in paragraph </w:t>
            </w:r>
            <w:r w:rsidR="002A4F62">
              <w:t xml:space="preserve">four </w:t>
            </w:r>
            <w:r w:rsidR="000C53C3">
              <w:t xml:space="preserve">under subheading ‘Units 3 and 4’ under heading </w:t>
            </w:r>
            <w:r w:rsidR="000C53C3">
              <w:rPr>
                <w:i/>
              </w:rPr>
              <w:t>Levels of achievement</w:t>
            </w:r>
          </w:p>
          <w:p w14:paraId="495F57E1" w14:textId="1DD43FD6" w:rsidR="00766B6C" w:rsidRPr="00766B6C" w:rsidRDefault="000C53C3" w:rsidP="00D531F5">
            <w:pPr>
              <w:pStyle w:val="VCAAbody"/>
              <w:spacing w:before="60" w:after="60"/>
            </w:pPr>
            <w:r>
              <w:t xml:space="preserve">Details of the assessment program are described in the sections on Units 3 and 4 in this study design. Assessment criteria for the outcomes in Unit 3 </w:t>
            </w:r>
            <w:r w:rsidRPr="000C53C3">
              <w:rPr>
                <w:color w:val="FF0000"/>
              </w:rPr>
              <w:t>and Unit 4</w:t>
            </w:r>
            <w:r>
              <w:t xml:space="preserve"> are mandated for this study</w:t>
            </w:r>
          </w:p>
        </w:tc>
      </w:tr>
      <w:tr w:rsidR="00653842" w14:paraId="2A4098C6" w14:textId="77777777" w:rsidTr="003838C5">
        <w:tc>
          <w:tcPr>
            <w:tcW w:w="577" w:type="pct"/>
          </w:tcPr>
          <w:p w14:paraId="7B3148F6" w14:textId="66577EAD" w:rsidR="00653842" w:rsidRDefault="00653842" w:rsidP="00E438B3">
            <w:pPr>
              <w:pStyle w:val="VCAAbody"/>
              <w:spacing w:line="400" w:lineRule="exact"/>
            </w:pPr>
            <w:r>
              <w:t>Page 1</w:t>
            </w:r>
            <w:r w:rsidR="002A4F62">
              <w:t>1</w:t>
            </w:r>
          </w:p>
        </w:tc>
        <w:tc>
          <w:tcPr>
            <w:tcW w:w="4423" w:type="pct"/>
          </w:tcPr>
          <w:p w14:paraId="0D2A6945" w14:textId="6798912A" w:rsidR="002A4F62" w:rsidRDefault="00FE69B5" w:rsidP="00E438B3">
            <w:pPr>
              <w:pStyle w:val="VCAAbody"/>
              <w:spacing w:line="400" w:lineRule="exact"/>
            </w:pPr>
            <w:r w:rsidRPr="00FE69B5">
              <w:t xml:space="preserve">Updated </w:t>
            </w:r>
            <w:r w:rsidR="002A4F62">
              <w:t xml:space="preserve">text under heading </w:t>
            </w:r>
            <w:r w:rsidR="002A4F62" w:rsidRPr="002A4F62">
              <w:rPr>
                <w:i/>
              </w:rPr>
              <w:t>Formal lodgment of research question</w:t>
            </w:r>
            <w:r w:rsidR="002A4F62">
              <w:t>, paragraph two and three</w:t>
            </w:r>
            <w:r w:rsidRPr="00FE69B5">
              <w:t>:</w:t>
            </w:r>
          </w:p>
          <w:p w14:paraId="092504DC" w14:textId="77777777" w:rsidR="002A4F62" w:rsidRPr="002A4F62" w:rsidRDefault="002A4F62" w:rsidP="00D531F5">
            <w:pPr>
              <w:pStyle w:val="VCAAbody"/>
              <w:spacing w:before="60"/>
              <w:rPr>
                <w:color w:val="FF0000"/>
              </w:rPr>
            </w:pPr>
            <w:r>
              <w:t xml:space="preserve">Where the VCAA identifies duplication with another current VCE study the school will be notified </w:t>
            </w:r>
            <w:r w:rsidRPr="002A4F62">
              <w:rPr>
                <w:color w:val="FF0000"/>
              </w:rPr>
              <w:t xml:space="preserve">and </w:t>
            </w:r>
            <w:r>
              <w:t xml:space="preserve">it is the school’s responsibility to guide the student in the refinement of the question. </w:t>
            </w:r>
            <w:r w:rsidRPr="002A4F62">
              <w:rPr>
                <w:color w:val="FF0000"/>
              </w:rPr>
              <w:t xml:space="preserve">For any research question, refined or otherwise, ongoing monitoring for possible duplication should continue to be undertaken by the teacher as the research develops. </w:t>
            </w:r>
          </w:p>
          <w:p w14:paraId="2CC8F0BE" w14:textId="7585789B" w:rsidR="002A4F62" w:rsidRPr="007B1F11" w:rsidRDefault="002A4F62" w:rsidP="00D531F5">
            <w:pPr>
              <w:pStyle w:val="VCAAbody"/>
              <w:spacing w:before="60"/>
              <w:rPr>
                <w:strike/>
                <w:color w:val="FF0000"/>
              </w:rPr>
            </w:pPr>
            <w:r>
              <w:t xml:space="preserve">A number of VCE studies now include research projects. </w:t>
            </w:r>
            <w:r w:rsidRPr="002A4F62">
              <w:rPr>
                <w:strike/>
                <w:color w:val="FF0000"/>
              </w:rPr>
              <w:t>The VCAA will not reject research questions for VCE Extended Investigation that have the possibility of being duplicated as a research topic in another VCE study</w:t>
            </w:r>
            <w:r>
              <w:rPr>
                <w:strike/>
                <w:color w:val="FF0000"/>
              </w:rPr>
              <w:t xml:space="preserve">. </w:t>
            </w:r>
            <w:r w:rsidRPr="002A4F62">
              <w:rPr>
                <w:strike/>
                <w:color w:val="FF0000"/>
              </w:rPr>
              <w:t>The</w:t>
            </w:r>
            <w:r>
              <w:rPr>
                <w:strike/>
                <w:color w:val="FF0000"/>
              </w:rPr>
              <w:t xml:space="preserve"> </w:t>
            </w:r>
            <w:r w:rsidRPr="002A4F62">
              <w:rPr>
                <w:strike/>
                <w:color w:val="FF0000"/>
              </w:rPr>
              <w:t xml:space="preserve">success of VCE Extended Investigation is </w:t>
            </w:r>
            <w:r>
              <w:rPr>
                <w:strike/>
                <w:color w:val="FF0000"/>
              </w:rPr>
              <w:t>d</w:t>
            </w:r>
            <w:r w:rsidRPr="002A4F62">
              <w:rPr>
                <w:strike/>
                <w:color w:val="FF0000"/>
              </w:rPr>
              <w:t>ependent on teacher oversight, ensuring that all work is authenticated</w:t>
            </w:r>
            <w:r>
              <w:rPr>
                <w:strike/>
                <w:color w:val="FF0000"/>
              </w:rPr>
              <w:t xml:space="preserve"> </w:t>
            </w:r>
            <w:r w:rsidRPr="002A4F62">
              <w:rPr>
                <w:strike/>
                <w:color w:val="FF0000"/>
              </w:rPr>
              <w:t>throughout the course of the study and that students are not submitting the same work for assessment in more</w:t>
            </w:r>
            <w:r>
              <w:rPr>
                <w:strike/>
                <w:color w:val="FF0000"/>
              </w:rPr>
              <w:t xml:space="preserve"> </w:t>
            </w:r>
            <w:r w:rsidR="007B1F11">
              <w:rPr>
                <w:strike/>
                <w:color w:val="FF0000"/>
              </w:rPr>
              <w:t>than one study.</w:t>
            </w:r>
            <w:r>
              <w:t xml:space="preserve"> </w:t>
            </w:r>
            <w:r w:rsidRPr="007B1F11">
              <w:rPr>
                <w:color w:val="FF0000"/>
              </w:rPr>
              <w:t>Teachers of VCE Extended Investigation need to ensure that all work is authenticated throughout the course and that students are not submitting the same work for assessment in more than one study.</w:t>
            </w:r>
          </w:p>
        </w:tc>
      </w:tr>
      <w:tr w:rsidR="007B1F11" w14:paraId="774824B5" w14:textId="77777777" w:rsidTr="003838C5">
        <w:tc>
          <w:tcPr>
            <w:tcW w:w="577" w:type="pct"/>
          </w:tcPr>
          <w:p w14:paraId="1EF49A10" w14:textId="4AA55BE0" w:rsidR="007B1F11" w:rsidRDefault="007B1F11" w:rsidP="00E438B3">
            <w:pPr>
              <w:pStyle w:val="VCAAbody"/>
              <w:spacing w:line="400" w:lineRule="exact"/>
            </w:pPr>
            <w:r>
              <w:t>Page 12</w:t>
            </w:r>
          </w:p>
        </w:tc>
        <w:tc>
          <w:tcPr>
            <w:tcW w:w="4423" w:type="pct"/>
          </w:tcPr>
          <w:p w14:paraId="5852E13A" w14:textId="4DEB5F5E" w:rsidR="007B1F11" w:rsidRDefault="007B1F11" w:rsidP="00E438B3">
            <w:pPr>
              <w:pStyle w:val="VCAAbody"/>
              <w:spacing w:line="400" w:lineRule="exact"/>
            </w:pPr>
            <w:r w:rsidRPr="00FE69B5">
              <w:t xml:space="preserve">Updated </w:t>
            </w:r>
            <w:r>
              <w:t>text in paragraph three</w:t>
            </w:r>
            <w:r w:rsidRPr="00FE69B5">
              <w:t>:</w:t>
            </w:r>
          </w:p>
          <w:p w14:paraId="28C70CF0" w14:textId="47CEABD7" w:rsidR="007B1F11" w:rsidRPr="00FE69B5" w:rsidRDefault="007B1F11" w:rsidP="00D531F5">
            <w:pPr>
              <w:pStyle w:val="VCAAbody"/>
              <w:spacing w:before="60" w:after="60"/>
            </w:pPr>
            <w:r>
              <w:t xml:space="preserve">Supervising teachers may read parts of the student’s developing written report and provide general feedback to assist the student to reflect critically on their own work. This is part of the teacher’s role in monitoring each student’s development of work. The Extended Investigation Externally-assessed Task Authentication form should be downloaded from the VCE Extended Investigation study page on the VCAA website and </w:t>
            </w:r>
            <w:r>
              <w:rPr>
                <w:color w:val="FF0000"/>
              </w:rPr>
              <w:t xml:space="preserve">it, or an equivalent thereof, be </w:t>
            </w:r>
            <w:r>
              <w:t xml:space="preserve">used as a </w:t>
            </w:r>
            <w:r>
              <w:lastRenderedPageBreak/>
              <w:t xml:space="preserve">record of any incidences of such feedback. </w:t>
            </w:r>
            <w:r w:rsidRPr="007B1F11">
              <w:rPr>
                <w:strike/>
                <w:color w:val="FF0000"/>
              </w:rPr>
              <w:t>This form</w:t>
            </w:r>
            <w:r w:rsidRPr="007B1F11">
              <w:rPr>
                <w:color w:val="FF0000"/>
              </w:rPr>
              <w:t xml:space="preserve"> The record </w:t>
            </w:r>
            <w:r>
              <w:t>should be retained as part of the Extended Investigation Journal.</w:t>
            </w:r>
          </w:p>
        </w:tc>
      </w:tr>
      <w:tr w:rsidR="00653842" w14:paraId="3CB2CB79" w14:textId="77777777" w:rsidTr="003838C5">
        <w:tc>
          <w:tcPr>
            <w:tcW w:w="577" w:type="pct"/>
          </w:tcPr>
          <w:p w14:paraId="0B31B8FA" w14:textId="5A346A91" w:rsidR="00653842" w:rsidRDefault="00C636B3" w:rsidP="00E438B3">
            <w:pPr>
              <w:pStyle w:val="VCAAbody"/>
              <w:spacing w:line="400" w:lineRule="exact"/>
            </w:pPr>
            <w:r>
              <w:lastRenderedPageBreak/>
              <w:t>Page 18</w:t>
            </w:r>
            <w:r w:rsidR="00653842">
              <w:t xml:space="preserve"> </w:t>
            </w:r>
          </w:p>
        </w:tc>
        <w:tc>
          <w:tcPr>
            <w:tcW w:w="4423" w:type="pct"/>
          </w:tcPr>
          <w:p w14:paraId="0751DA89" w14:textId="1857F8FD" w:rsidR="003A5DF5" w:rsidRDefault="003A5DF5" w:rsidP="00E438B3">
            <w:pPr>
              <w:pStyle w:val="VCAAbody"/>
              <w:spacing w:line="400" w:lineRule="exact"/>
            </w:pPr>
            <w:r w:rsidRPr="00FE69B5">
              <w:t xml:space="preserve">Updated </w:t>
            </w:r>
            <w:r w:rsidR="00C636B3">
              <w:t>text under</w:t>
            </w:r>
            <w:r w:rsidR="00C636B3" w:rsidRPr="00C636B3">
              <w:t xml:space="preserve"> subheading </w:t>
            </w:r>
            <w:r w:rsidR="00C636B3">
              <w:t>‘</w:t>
            </w:r>
            <w:r w:rsidR="00C636B3" w:rsidRPr="00C636B3">
              <w:t>Co</w:t>
            </w:r>
            <w:bookmarkStart w:id="1" w:name="_GoBack"/>
            <w:bookmarkEnd w:id="1"/>
            <w:r w:rsidR="00C636B3" w:rsidRPr="00C636B3">
              <w:t>nditions of the Critical Thinking Test</w:t>
            </w:r>
            <w:r w:rsidR="00C636B3">
              <w:t>’,</w:t>
            </w:r>
            <w:r>
              <w:t xml:space="preserve"> </w:t>
            </w:r>
            <w:r w:rsidRPr="00FE69B5">
              <w:t xml:space="preserve">bullet point </w:t>
            </w:r>
            <w:r>
              <w:t>nine</w:t>
            </w:r>
            <w:r w:rsidRPr="00FE69B5">
              <w:t>:</w:t>
            </w:r>
          </w:p>
          <w:p w14:paraId="0D920885" w14:textId="5F94CF48" w:rsidR="00653842" w:rsidRDefault="00C636B3" w:rsidP="004804F6">
            <w:pPr>
              <w:pStyle w:val="VCAAbullet"/>
              <w:ind w:left="425" w:hanging="425"/>
            </w:pPr>
            <w:r>
              <w:t xml:space="preserve">VCAA </w:t>
            </w:r>
            <w:r w:rsidRPr="00C636B3">
              <w:rPr>
                <w:color w:val="FF0000"/>
              </w:rPr>
              <w:t xml:space="preserve">examination </w:t>
            </w:r>
            <w:r>
              <w:t>rules will apply. Details of these rules are published annually in the VCE and VCAL Administrative Handbook.</w:t>
            </w:r>
          </w:p>
        </w:tc>
      </w:tr>
      <w:tr w:rsidR="00653842" w14:paraId="40640821" w14:textId="77777777" w:rsidTr="003838C5">
        <w:tc>
          <w:tcPr>
            <w:tcW w:w="577" w:type="pct"/>
          </w:tcPr>
          <w:p w14:paraId="75DBC7BE" w14:textId="31DE927A" w:rsidR="00653842" w:rsidRDefault="00C636B3" w:rsidP="00E438B3">
            <w:pPr>
              <w:pStyle w:val="VCAAbody"/>
              <w:spacing w:line="400" w:lineRule="exact"/>
            </w:pPr>
            <w:r>
              <w:t>Page 21</w:t>
            </w:r>
          </w:p>
        </w:tc>
        <w:tc>
          <w:tcPr>
            <w:tcW w:w="4423" w:type="pct"/>
          </w:tcPr>
          <w:p w14:paraId="68AEB60C" w14:textId="4106690F" w:rsidR="00471A2A" w:rsidRPr="000C53C3" w:rsidRDefault="00471A2A" w:rsidP="00E438B3">
            <w:pPr>
              <w:pStyle w:val="VCAAbody"/>
              <w:spacing w:line="400" w:lineRule="exact"/>
              <w:rPr>
                <w:i/>
              </w:rPr>
            </w:pPr>
            <w:r>
              <w:t xml:space="preserve">Updated text in paragraph two under subheading ‘Written report’ under heading </w:t>
            </w:r>
            <w:r w:rsidRPr="00471A2A">
              <w:rPr>
                <w:i/>
              </w:rPr>
              <w:t>Assessment of l</w:t>
            </w:r>
            <w:r>
              <w:rPr>
                <w:i/>
              </w:rPr>
              <w:t>evels of achievement</w:t>
            </w:r>
          </w:p>
          <w:p w14:paraId="0B8AC714" w14:textId="2FD1242B" w:rsidR="00653842" w:rsidRPr="00471A2A" w:rsidRDefault="00471A2A" w:rsidP="00D531F5">
            <w:pPr>
              <w:pStyle w:val="VCAAbody"/>
              <w:spacing w:before="60" w:after="60"/>
              <w:rPr>
                <w:strike/>
              </w:rPr>
            </w:pPr>
            <w:r w:rsidRPr="00471A2A">
              <w:rPr>
                <w:strike/>
                <w:color w:val="FF0000"/>
              </w:rPr>
              <w:t>Please note that the word count declaration, research question, reference list and appendices are not included in the final word count.</w:t>
            </w:r>
            <w:r>
              <w:t xml:space="preserve"> </w:t>
            </w:r>
            <w:r w:rsidRPr="00471A2A">
              <w:rPr>
                <w:color w:val="FF0000"/>
              </w:rPr>
              <w:t xml:space="preserve">Further specifications for the word count of the written report are published in the </w:t>
            </w:r>
            <w:hyperlink r:id="rId13" w:history="1">
              <w:r w:rsidRPr="00471A2A">
                <w:rPr>
                  <w:rStyle w:val="Hyperlink"/>
                </w:rPr>
                <w:t>VCE Extended Investigation (2019-2021) Externally-assessed Task: Written Report Specifications</w:t>
              </w:r>
            </w:hyperlink>
            <w:r>
              <w:rPr>
                <w:color w:val="FF0000"/>
              </w:rPr>
              <w:t>.</w:t>
            </w:r>
          </w:p>
        </w:tc>
      </w:tr>
      <w:tr w:rsidR="00471A2A" w14:paraId="1E15C8A8" w14:textId="77777777" w:rsidTr="003838C5">
        <w:tc>
          <w:tcPr>
            <w:tcW w:w="577" w:type="pct"/>
          </w:tcPr>
          <w:p w14:paraId="3A893E7A" w14:textId="1BB3A504" w:rsidR="00471A2A" w:rsidRDefault="00471A2A" w:rsidP="00E438B3">
            <w:pPr>
              <w:pStyle w:val="VCAAbody"/>
              <w:spacing w:line="400" w:lineRule="exact"/>
            </w:pPr>
            <w:r>
              <w:t>Page 22</w:t>
            </w:r>
          </w:p>
        </w:tc>
        <w:tc>
          <w:tcPr>
            <w:tcW w:w="4423" w:type="pct"/>
          </w:tcPr>
          <w:p w14:paraId="4DB79C7B" w14:textId="65592118" w:rsidR="00471A2A" w:rsidRDefault="00471A2A" w:rsidP="00E438B3">
            <w:pPr>
              <w:pStyle w:val="VCAAbody"/>
              <w:spacing w:line="400" w:lineRule="exact"/>
            </w:pPr>
            <w:r w:rsidRPr="00FE69B5">
              <w:t xml:space="preserve">Updated </w:t>
            </w:r>
            <w:r>
              <w:t>text under</w:t>
            </w:r>
            <w:r w:rsidRPr="00C636B3">
              <w:t xml:space="preserve"> subheading </w:t>
            </w:r>
            <w:r>
              <w:t>‘</w:t>
            </w:r>
            <w:r w:rsidRPr="00C636B3">
              <w:t>Conditions</w:t>
            </w:r>
            <w:r>
              <w:t xml:space="preserve">’, </w:t>
            </w:r>
            <w:r w:rsidRPr="00FE69B5">
              <w:t xml:space="preserve">bullet point </w:t>
            </w:r>
            <w:r>
              <w:t>two</w:t>
            </w:r>
            <w:r w:rsidRPr="00FE69B5">
              <w:t>:</w:t>
            </w:r>
          </w:p>
          <w:p w14:paraId="3E2EA251" w14:textId="65202F93" w:rsidR="00471A2A" w:rsidRDefault="00471A2A" w:rsidP="004804F6">
            <w:pPr>
              <w:pStyle w:val="VCAAbullet"/>
              <w:ind w:left="425" w:hanging="425"/>
            </w:pPr>
            <w:r w:rsidRPr="00471A2A">
              <w:t xml:space="preserve">VCAA examination rules will apply </w:t>
            </w:r>
            <w:r w:rsidRPr="004804F6">
              <w:rPr>
                <w:color w:val="FF0000"/>
              </w:rPr>
              <w:t xml:space="preserve">to the oral presentation component. </w:t>
            </w:r>
            <w:r w:rsidRPr="00471A2A">
              <w:rPr>
                <w:color w:val="auto"/>
              </w:rPr>
              <w:t>Details of these rules are published annually in the VCE and VCAL</w:t>
            </w:r>
            <w:r>
              <w:rPr>
                <w:color w:val="auto"/>
              </w:rPr>
              <w:t xml:space="preserve"> </w:t>
            </w:r>
            <w:r w:rsidRPr="00471A2A">
              <w:rPr>
                <w:color w:val="auto"/>
              </w:rPr>
              <w:t xml:space="preserve">Administrative Handbook. </w:t>
            </w:r>
            <w:r w:rsidRPr="004804F6">
              <w:rPr>
                <w:color w:val="FF0000"/>
              </w:rPr>
              <w:t xml:space="preserve">VCAA school-based assessment authentication requirements will apply to the written component. Further conditions and other specifications for the written report are published in the </w:t>
            </w:r>
            <w:hyperlink r:id="rId14" w:history="1">
              <w:r w:rsidRPr="004804F6">
                <w:rPr>
                  <w:rStyle w:val="Hyperlink"/>
                </w:rPr>
                <w:t>VCE Extended Investigation (2019-2021) Externally-assessed Task: Written Report Specifications</w:t>
              </w:r>
            </w:hyperlink>
            <w:r w:rsidRPr="004804F6">
              <w:rPr>
                <w:color w:val="FF0000"/>
              </w:rPr>
              <w:t>.</w:t>
            </w:r>
          </w:p>
        </w:tc>
      </w:tr>
    </w:tbl>
    <w:p w14:paraId="0DE6D5D4" w14:textId="352918DA" w:rsidR="00653842" w:rsidRPr="00653842" w:rsidRDefault="00653842" w:rsidP="00D531F5">
      <w:pPr>
        <w:pStyle w:val="VCAAbullet"/>
        <w:numPr>
          <w:ilvl w:val="0"/>
          <w:numId w:val="0"/>
        </w:numPr>
      </w:pPr>
    </w:p>
    <w:sectPr w:rsidR="00653842" w:rsidRPr="00653842"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E438B3" w:rsidRDefault="00E438B3" w:rsidP="00304EA1">
      <w:pPr>
        <w:spacing w:after="0" w:line="240" w:lineRule="auto"/>
      </w:pPr>
      <w:r>
        <w:separator/>
      </w:r>
    </w:p>
  </w:endnote>
  <w:endnote w:type="continuationSeparator" w:id="0">
    <w:p w14:paraId="3270DF94" w14:textId="77777777" w:rsidR="00E438B3" w:rsidRDefault="00E438B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E438B3" w:rsidRPr="00D06414" w14:paraId="6474FD3B" w14:textId="77777777" w:rsidTr="00BB3BAB">
      <w:trPr>
        <w:trHeight w:val="476"/>
      </w:trPr>
      <w:tc>
        <w:tcPr>
          <w:tcW w:w="1667" w:type="pct"/>
          <w:tcMar>
            <w:left w:w="0" w:type="dxa"/>
            <w:right w:w="0" w:type="dxa"/>
          </w:tcMar>
        </w:tcPr>
        <w:p w14:paraId="0EC15F2D" w14:textId="77777777" w:rsidR="00E438B3" w:rsidRPr="00D06414" w:rsidRDefault="00E438B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E438B3" w:rsidRPr="00D06414" w:rsidRDefault="00E438B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04EE83D" w:rsidR="00E438B3" w:rsidRPr="00D06414" w:rsidRDefault="00E438B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06C73">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E438B3" w:rsidRPr="00D06414" w:rsidRDefault="00E438B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E438B3" w:rsidRPr="00D06414" w14:paraId="36A4ADC1" w14:textId="77777777" w:rsidTr="000F5AAF">
      <w:tc>
        <w:tcPr>
          <w:tcW w:w="1459" w:type="pct"/>
          <w:tcMar>
            <w:left w:w="0" w:type="dxa"/>
            <w:right w:w="0" w:type="dxa"/>
          </w:tcMar>
        </w:tcPr>
        <w:p w14:paraId="74DB1FC2" w14:textId="77777777" w:rsidR="00E438B3" w:rsidRPr="00D06414" w:rsidRDefault="00E438B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438B3" w:rsidRPr="00D06414" w:rsidRDefault="00E438B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E438B3" w:rsidRPr="00D06414" w:rsidRDefault="00E438B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E438B3" w:rsidRPr="00D06414" w:rsidRDefault="00E438B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E438B3" w:rsidRDefault="00E438B3" w:rsidP="00304EA1">
      <w:pPr>
        <w:spacing w:after="0" w:line="240" w:lineRule="auto"/>
      </w:pPr>
      <w:r>
        <w:separator/>
      </w:r>
    </w:p>
  </w:footnote>
  <w:footnote w:type="continuationSeparator" w:id="0">
    <w:p w14:paraId="13540A36" w14:textId="77777777" w:rsidR="00E438B3" w:rsidRDefault="00E438B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E748DC6" w:rsidR="00E438B3" w:rsidRPr="00D86DE4" w:rsidRDefault="00406C73"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Extended Investigation Study Design 2019–2024</w:t>
        </w:r>
      </w:sdtContent>
    </w:sdt>
    <w:r w:rsidR="00E438B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E438B3" w:rsidRPr="009370BC" w:rsidRDefault="00E438B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2F371BF"/>
    <w:multiLevelType w:val="hybridMultilevel"/>
    <w:tmpl w:val="0958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73A1491"/>
    <w:multiLevelType w:val="hybridMultilevel"/>
    <w:tmpl w:val="4B78B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7F12FA"/>
    <w:multiLevelType w:val="hybridMultilevel"/>
    <w:tmpl w:val="876CA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CEBA4372"/>
    <w:lvl w:ilvl="0" w:tplc="FEC0C69C">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6"/>
  </w:num>
  <w:num w:numId="6">
    <w:abstractNumId w:val="2"/>
  </w:num>
  <w:num w:numId="7">
    <w:abstractNumId w:val="4"/>
  </w:num>
  <w:num w:numId="8">
    <w:abstractNumId w:val="5"/>
  </w:num>
  <w:num w:numId="9">
    <w:abstractNumId w:val="7"/>
  </w:num>
  <w:num w:numId="10">
    <w:abstractNumId w:val="7"/>
  </w:num>
  <w:num w:numId="11">
    <w:abstractNumId w:val="7"/>
  </w:num>
  <w:num w:numId="12">
    <w:abstractNumId w:val="7"/>
  </w:num>
  <w:num w:numId="13">
    <w:abstractNumId w:val="7"/>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C53C3"/>
    <w:rsid w:val="000F09E4"/>
    <w:rsid w:val="000F16FD"/>
    <w:rsid w:val="000F533A"/>
    <w:rsid w:val="000F5AAF"/>
    <w:rsid w:val="00143520"/>
    <w:rsid w:val="00153AD2"/>
    <w:rsid w:val="001779EA"/>
    <w:rsid w:val="001D3246"/>
    <w:rsid w:val="002279BA"/>
    <w:rsid w:val="002329F3"/>
    <w:rsid w:val="00243F0D"/>
    <w:rsid w:val="00260767"/>
    <w:rsid w:val="002647BB"/>
    <w:rsid w:val="002754C1"/>
    <w:rsid w:val="002841C8"/>
    <w:rsid w:val="0028516B"/>
    <w:rsid w:val="002A4F62"/>
    <w:rsid w:val="002C6F90"/>
    <w:rsid w:val="002E4FB5"/>
    <w:rsid w:val="00302FB8"/>
    <w:rsid w:val="00304EA1"/>
    <w:rsid w:val="00314D81"/>
    <w:rsid w:val="00322FC6"/>
    <w:rsid w:val="0035293F"/>
    <w:rsid w:val="003838C5"/>
    <w:rsid w:val="00391986"/>
    <w:rsid w:val="003A00B4"/>
    <w:rsid w:val="003A5DF5"/>
    <w:rsid w:val="003C5E71"/>
    <w:rsid w:val="00406C73"/>
    <w:rsid w:val="00417AA3"/>
    <w:rsid w:val="00425DFE"/>
    <w:rsid w:val="00434EDB"/>
    <w:rsid w:val="00440B32"/>
    <w:rsid w:val="0046078D"/>
    <w:rsid w:val="00471A2A"/>
    <w:rsid w:val="0047212A"/>
    <w:rsid w:val="004804F6"/>
    <w:rsid w:val="0048441D"/>
    <w:rsid w:val="00495C80"/>
    <w:rsid w:val="004A2ED8"/>
    <w:rsid w:val="004F5BDA"/>
    <w:rsid w:val="0051631E"/>
    <w:rsid w:val="00537A1F"/>
    <w:rsid w:val="00566029"/>
    <w:rsid w:val="0058075E"/>
    <w:rsid w:val="005923CB"/>
    <w:rsid w:val="005B391B"/>
    <w:rsid w:val="005D3D78"/>
    <w:rsid w:val="005E2EF0"/>
    <w:rsid w:val="005F4092"/>
    <w:rsid w:val="0060312C"/>
    <w:rsid w:val="00653842"/>
    <w:rsid w:val="0068471E"/>
    <w:rsid w:val="00684F98"/>
    <w:rsid w:val="00692B85"/>
    <w:rsid w:val="00693FFD"/>
    <w:rsid w:val="006D2159"/>
    <w:rsid w:val="006F787C"/>
    <w:rsid w:val="00702636"/>
    <w:rsid w:val="00724507"/>
    <w:rsid w:val="00766B6C"/>
    <w:rsid w:val="00773E6C"/>
    <w:rsid w:val="00781FB1"/>
    <w:rsid w:val="007B1F1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636B3"/>
    <w:rsid w:val="00C75F1D"/>
    <w:rsid w:val="00C95156"/>
    <w:rsid w:val="00CA0DC2"/>
    <w:rsid w:val="00CB68E8"/>
    <w:rsid w:val="00D04F01"/>
    <w:rsid w:val="00D06414"/>
    <w:rsid w:val="00D24E5A"/>
    <w:rsid w:val="00D338E4"/>
    <w:rsid w:val="00D51947"/>
    <w:rsid w:val="00D531F5"/>
    <w:rsid w:val="00D532F0"/>
    <w:rsid w:val="00D77413"/>
    <w:rsid w:val="00D82759"/>
    <w:rsid w:val="00D86DE4"/>
    <w:rsid w:val="00DE1909"/>
    <w:rsid w:val="00DE51DB"/>
    <w:rsid w:val="00E23F1D"/>
    <w:rsid w:val="00E30E05"/>
    <w:rsid w:val="00E36361"/>
    <w:rsid w:val="00E438B3"/>
    <w:rsid w:val="00E55AE9"/>
    <w:rsid w:val="00EB0C84"/>
    <w:rsid w:val="00EC081D"/>
    <w:rsid w:val="00F17FDE"/>
    <w:rsid w:val="00F40D53"/>
    <w:rsid w:val="00F4525C"/>
    <w:rsid w:val="00F50D86"/>
    <w:rsid w:val="00FD29D3"/>
    <w:rsid w:val="00FE3F0B"/>
    <w:rsid w:val="00FE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531F5"/>
    <w:pPr>
      <w:numPr>
        <w:numId w:val="1"/>
      </w:numPr>
      <w:tabs>
        <w:tab w:val="left" w:pos="425"/>
      </w:tabs>
      <w:spacing w:before="60" w:after="60"/>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Documents/exams/extendedinvestigation/extinvest-written-eat-spec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hmr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mr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Documents/exams/extendedinvestigation/extinvest-written-eat-specs.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73568A"/>
    <w:rsid w:val="009325D2"/>
    <w:rsid w:val="00EC79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9D505774-038F-42E2-9E4D-D05927636BBE}"/>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C2DCCD5-3794-4FB1-A0D1-7C51F8DC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VCE Extended Investigation Study Design 2019–2023</vt:lpstr>
    </vt:vector>
  </TitlesOfParts>
  <Company>Victorian Curriculum and Assessment Authority</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Extended Investigation Study Design 2019–2024</dc:title>
  <dc:creator>Derek Tolan</dc:creator>
  <cp:lastModifiedBy>Coleman, Julie J</cp:lastModifiedBy>
  <cp:revision>12</cp:revision>
  <cp:lastPrinted>2015-05-15T02:36:00Z</cp:lastPrinted>
  <dcterms:created xsi:type="dcterms:W3CDTF">2020-01-14T00:34:00Z</dcterms:created>
  <dcterms:modified xsi:type="dcterms:W3CDTF">2020-06-01T06:40:00Z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