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D438759" w:rsidR="00F4525C" w:rsidRDefault="00242AC0" w:rsidP="00242AC0">
      <w:pPr>
        <w:pStyle w:val="VCAAHeading1"/>
        <w:spacing w:before="120" w:after="240"/>
      </w:pPr>
      <w:r>
        <w:t xml:space="preserve">VCE </w:t>
      </w:r>
      <w:r w:rsidR="00376B6A">
        <w:t>Food Studies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996"/>
        <w:gridCol w:w="1180"/>
        <w:gridCol w:w="2176"/>
        <w:gridCol w:w="2176"/>
        <w:gridCol w:w="2176"/>
        <w:gridCol w:w="2177"/>
      </w:tblGrid>
      <w:tr w:rsidR="00E40242" w:rsidRPr="008D74EF" w14:paraId="6D4B8278" w14:textId="77777777" w:rsidTr="00376B6A">
        <w:tc>
          <w:tcPr>
            <w:tcW w:w="15412" w:type="dxa"/>
            <w:gridSpan w:val="9"/>
            <w:shd w:val="clear" w:color="auto" w:fill="0F7EB4"/>
          </w:tcPr>
          <w:p w14:paraId="0B1E6973" w14:textId="1DDB2AA7" w:rsidR="00E40242" w:rsidRPr="004A4C31" w:rsidRDefault="00376B6A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Food Studies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9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4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E40242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7777777" w:rsidR="00E40242" w:rsidRPr="00242AC0" w:rsidRDefault="00E40242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67633C11" w:rsidR="00E40242" w:rsidRPr="00242AC0" w:rsidRDefault="00E40242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376B6A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</w:p>
          <w:p w14:paraId="311A4DEE" w14:textId="09DB60FF" w:rsidR="00E40242" w:rsidRPr="008B75AF" w:rsidRDefault="00376B6A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B75AF">
              <w:rPr>
                <w:rFonts w:ascii="Arial Narrow" w:hAnsi="Arial Narrow" w:cs="Arial"/>
                <w:sz w:val="20"/>
                <w:szCs w:val="20"/>
                <w:lang w:val="en-AU"/>
              </w:rPr>
              <w:t>Analyse factors affecting food behaviours of individuals through examining the relationships between food access, values, beliefs and choice</w:t>
            </w:r>
            <w:r w:rsidR="00DB7D35">
              <w:rPr>
                <w:rFonts w:ascii="Arial Narrow" w:hAnsi="Arial Narrow" w:cs="Arial"/>
                <w:sz w:val="20"/>
                <w:szCs w:val="20"/>
                <w:lang w:val="en-AU"/>
              </w:rPr>
              <w:t>s</w:t>
            </w:r>
            <w:r w:rsidRPr="008B75AF">
              <w:rPr>
                <w:rFonts w:ascii="Arial Narrow" w:hAnsi="Arial Narrow" w:cs="Arial"/>
                <w:sz w:val="20"/>
                <w:szCs w:val="20"/>
                <w:lang w:val="en-AU"/>
              </w:rPr>
              <w:t>, and demonstrate practical skills to evaluate planning and preparing healthy meals for children and families.</w:t>
            </w:r>
          </w:p>
        </w:tc>
        <w:tc>
          <w:tcPr>
            <w:tcW w:w="13432" w:type="dxa"/>
            <w:gridSpan w:val="8"/>
            <w:shd w:val="clear" w:color="auto" w:fill="0F7EB4"/>
          </w:tcPr>
          <w:p w14:paraId="592C665F" w14:textId="78E87A83" w:rsidR="00E40242" w:rsidRPr="004A4C31" w:rsidRDefault="00E40242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40242" w:rsidRPr="00242AC0" w14:paraId="06EFEA4E" w14:textId="77777777" w:rsidTr="00376B6A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E40242" w:rsidRPr="00242AC0" w:rsidRDefault="00E40242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23D7E9" w14:textId="12721DC2" w:rsidR="00E40242" w:rsidRPr="00242AC0" w:rsidRDefault="00E40242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Indicators</w:t>
            </w:r>
          </w:p>
        </w:tc>
        <w:tc>
          <w:tcPr>
            <w:tcW w:w="850" w:type="dxa"/>
            <w:shd w:val="clear" w:color="auto" w:fill="auto"/>
          </w:tcPr>
          <w:p w14:paraId="2A3060B8" w14:textId="6C2128B7" w:rsidR="00E40242" w:rsidRPr="00242AC0" w:rsidRDefault="00E40242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6FEF26A5" w14:textId="654BDB7E" w:rsidR="00E40242" w:rsidRPr="00443A55" w:rsidRDefault="00E40242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176" w:type="dxa"/>
            <w:vAlign w:val="center"/>
          </w:tcPr>
          <w:p w14:paraId="5D2D2580" w14:textId="26A4B4E0" w:rsidR="00E40242" w:rsidRPr="00443A55" w:rsidRDefault="00E40242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176" w:type="dxa"/>
            <w:vAlign w:val="center"/>
          </w:tcPr>
          <w:p w14:paraId="5078DBB7" w14:textId="129C1734" w:rsidR="00E40242" w:rsidRPr="00443A55" w:rsidRDefault="00E40242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176" w:type="dxa"/>
            <w:vAlign w:val="center"/>
          </w:tcPr>
          <w:p w14:paraId="402A628A" w14:textId="4BE5425E" w:rsidR="00E40242" w:rsidRPr="00242AC0" w:rsidRDefault="00E40242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177" w:type="dxa"/>
            <w:vAlign w:val="center"/>
          </w:tcPr>
          <w:p w14:paraId="3A41BCAC" w14:textId="76C4ECE5" w:rsidR="00E40242" w:rsidRPr="00443A55" w:rsidRDefault="00E40242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362B4F" w:rsidRPr="00242AC0" w14:paraId="7F64F049" w14:textId="77777777" w:rsidTr="00362B4F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3CFC6151" w14:textId="77777777" w:rsidR="00362B4F" w:rsidRPr="00242AC0" w:rsidRDefault="00362B4F" w:rsidP="00362B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10F8AE" w14:textId="1C2DDA65" w:rsidR="00362B4F" w:rsidRPr="00443A55" w:rsidRDefault="00362B4F" w:rsidP="00362B4F">
            <w:pPr>
              <w:pStyle w:val="VCAAtablecondensedbullet"/>
              <w:tabs>
                <w:tab w:val="clear" w:pos="425"/>
              </w:tabs>
              <w:spacing w:line="240" w:lineRule="auto"/>
              <w:ind w:left="175" w:hanging="175"/>
              <w:rPr>
                <w:szCs w:val="20"/>
              </w:rPr>
            </w:pPr>
            <w:r>
              <w:t xml:space="preserve">food access as a factor </w:t>
            </w:r>
            <w:r w:rsidRPr="00791350">
              <w:t>affecting food behaviours of individuals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C1C10E3" w14:textId="6CDEB092" w:rsidR="00362B4F" w:rsidRPr="001A60E4" w:rsidRDefault="00362B4F" w:rsidP="00D93B2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/>
                <w:sz w:val="20"/>
                <w:szCs w:val="20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392E35FF" w14:textId="58457863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Identifies food access as a factor affecting food behaviours of individuals through identifying food access.</w:t>
            </w:r>
          </w:p>
        </w:tc>
        <w:tc>
          <w:tcPr>
            <w:tcW w:w="2176" w:type="dxa"/>
          </w:tcPr>
          <w:p w14:paraId="3CDA3BBF" w14:textId="313A914B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Outlines food access as a factor affecting food behaviours of individuals.</w:t>
            </w:r>
          </w:p>
        </w:tc>
        <w:tc>
          <w:tcPr>
            <w:tcW w:w="2176" w:type="dxa"/>
          </w:tcPr>
          <w:p w14:paraId="1B32EC80" w14:textId="62A97ABE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Describes food access 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br/>
              <w:t>as a factor affecting food behaviours of individuals.</w:t>
            </w:r>
          </w:p>
        </w:tc>
        <w:tc>
          <w:tcPr>
            <w:tcW w:w="2176" w:type="dxa"/>
          </w:tcPr>
          <w:p w14:paraId="0BA7A360" w14:textId="1AD6A59D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Explains food access as a factor affecting food behaviours of individuals.</w:t>
            </w:r>
          </w:p>
        </w:tc>
        <w:tc>
          <w:tcPr>
            <w:tcW w:w="2177" w:type="dxa"/>
          </w:tcPr>
          <w:p w14:paraId="3933482E" w14:textId="68536729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Analyses 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food access 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br/>
              <w:t>as a factor affecting food behaviours of individuals.</w:t>
            </w:r>
          </w:p>
        </w:tc>
      </w:tr>
      <w:tr w:rsidR="00362B4F" w:rsidRPr="00242AC0" w14:paraId="5818D3DD" w14:textId="77777777" w:rsidTr="00362B4F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362B4F" w:rsidRPr="00242AC0" w:rsidRDefault="00362B4F" w:rsidP="00362B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3E8ACC" w14:textId="096058BD" w:rsidR="00362B4F" w:rsidRPr="00443A55" w:rsidRDefault="00362B4F" w:rsidP="00362B4F">
            <w:pPr>
              <w:pStyle w:val="VCAAtablecondensedbullet"/>
              <w:tabs>
                <w:tab w:val="clear" w:pos="425"/>
              </w:tabs>
              <w:spacing w:line="240" w:lineRule="auto"/>
              <w:ind w:left="178" w:hanging="178"/>
              <w:rPr>
                <w:szCs w:val="20"/>
              </w:rPr>
            </w:pPr>
            <w:r>
              <w:t xml:space="preserve">values as a factor </w:t>
            </w:r>
            <w:r w:rsidRPr="00791350">
              <w:t>affecting food behaviours of individuals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3E91CD" w14:textId="794C9CD9" w:rsidR="00362B4F" w:rsidRPr="001A60E4" w:rsidRDefault="00362B4F" w:rsidP="00D93B2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1E38705F" w14:textId="702FC6A2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Identifies values as a factor affecting </w:t>
            </w:r>
            <w:r w:rsidR="006E4737">
              <w:rPr>
                <w:rFonts w:ascii="Arial Narrow" w:hAnsi="Arial Narrow" w:cs="Arial"/>
                <w:sz w:val="20"/>
                <w:szCs w:val="20"/>
              </w:rPr>
              <w:t>food behaviours of individuals.</w:t>
            </w:r>
          </w:p>
        </w:tc>
        <w:tc>
          <w:tcPr>
            <w:tcW w:w="2176" w:type="dxa"/>
          </w:tcPr>
          <w:p w14:paraId="763B9EB6" w14:textId="6DF196DB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Outlines values as a factor affecting food behaviours of individuals.</w:t>
            </w:r>
          </w:p>
        </w:tc>
        <w:tc>
          <w:tcPr>
            <w:tcW w:w="2176" w:type="dxa"/>
          </w:tcPr>
          <w:p w14:paraId="6844A0C7" w14:textId="5D47FFEE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Describes values as a factor affecting food behaviours of individuals.</w:t>
            </w:r>
          </w:p>
        </w:tc>
        <w:tc>
          <w:tcPr>
            <w:tcW w:w="2176" w:type="dxa"/>
          </w:tcPr>
          <w:p w14:paraId="2BD8EB74" w14:textId="59CEF075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Explains values as a factor affecting food behaviours of individuals.</w:t>
            </w:r>
          </w:p>
        </w:tc>
        <w:tc>
          <w:tcPr>
            <w:tcW w:w="2177" w:type="dxa"/>
          </w:tcPr>
          <w:p w14:paraId="3BCD8FF7" w14:textId="523A6D10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Analyses 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>values as a factor affecting food behaviours of individuals.</w:t>
            </w:r>
          </w:p>
        </w:tc>
      </w:tr>
      <w:tr w:rsidR="00362B4F" w:rsidRPr="00242AC0" w14:paraId="4E081013" w14:textId="77777777" w:rsidTr="00362B4F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362B4F" w:rsidRPr="00242AC0" w:rsidRDefault="00362B4F" w:rsidP="00362B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A4BC5D" w14:textId="7A6C3C5C" w:rsidR="00362B4F" w:rsidRPr="00443A55" w:rsidRDefault="00362B4F" w:rsidP="00362B4F">
            <w:pPr>
              <w:pStyle w:val="VCAAtablecondensedbullet"/>
              <w:tabs>
                <w:tab w:val="clear" w:pos="425"/>
              </w:tabs>
              <w:spacing w:line="240" w:lineRule="auto"/>
              <w:ind w:left="176" w:hanging="176"/>
              <w:rPr>
                <w:szCs w:val="20"/>
              </w:rPr>
            </w:pPr>
            <w:r>
              <w:t xml:space="preserve">beliefs as a factor </w:t>
            </w:r>
            <w:r w:rsidRPr="00791350">
              <w:t>affecting food behaviours of individuals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9EAB92F" w14:textId="57158B7F" w:rsidR="00362B4F" w:rsidRPr="001A60E4" w:rsidRDefault="00362B4F" w:rsidP="00D93B2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3E544CB2" w14:textId="73E42311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Identifies beliefs as a factor affecting food behaviours of individuals</w:t>
            </w:r>
            <w:r w:rsidR="006E473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430F2760" w14:textId="23115B74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Outlines beliefs as a factor affecting food behaviours of individuals.</w:t>
            </w:r>
          </w:p>
        </w:tc>
        <w:tc>
          <w:tcPr>
            <w:tcW w:w="2176" w:type="dxa"/>
          </w:tcPr>
          <w:p w14:paraId="37665821" w14:textId="238A72EC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Describes beliefs as a factor affecting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6C4FC40D" w14:textId="0CB1FED9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Explains beliefs as a factor affecting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7" w:type="dxa"/>
          </w:tcPr>
          <w:p w14:paraId="4B210D4D" w14:textId="7E7FECF2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Analyses beliefs as a factor affecting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362B4F" w:rsidRPr="00242AC0" w14:paraId="2967C222" w14:textId="77777777" w:rsidTr="00362B4F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362B4F" w:rsidRPr="00242AC0" w:rsidRDefault="00362B4F" w:rsidP="00362B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8A940E" w14:textId="4024C41E" w:rsidR="00362B4F" w:rsidRPr="00443A55" w:rsidRDefault="00362B4F" w:rsidP="00362B4F">
            <w:pPr>
              <w:pStyle w:val="VCAAtablecondensedbullet"/>
              <w:tabs>
                <w:tab w:val="clear" w:pos="425"/>
              </w:tabs>
              <w:spacing w:line="240" w:lineRule="auto"/>
              <w:ind w:left="178" w:hanging="178"/>
              <w:rPr>
                <w:szCs w:val="20"/>
              </w:rPr>
            </w:pPr>
            <w:r>
              <w:t>choice</w:t>
            </w:r>
            <w:r w:rsidR="00DB7D35">
              <w:t>s</w:t>
            </w:r>
            <w:r>
              <w:t xml:space="preserve"> as a factor affecting food behaviours of individuals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2DA2AD" w14:textId="11B5D7B9" w:rsidR="00362B4F" w:rsidRPr="001A60E4" w:rsidRDefault="00362B4F" w:rsidP="00D93B2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6BE66AC5" w14:textId="5D84968D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Identifies choice</w:t>
            </w:r>
            <w:r w:rsidR="00DB7D3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 as a factor affecting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019B0932" w14:textId="42908F64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Outlines choice</w:t>
            </w:r>
            <w:r w:rsidR="00DB7D3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 as a factor affecting food behaviours of individuals.</w:t>
            </w:r>
          </w:p>
        </w:tc>
        <w:tc>
          <w:tcPr>
            <w:tcW w:w="2176" w:type="dxa"/>
          </w:tcPr>
          <w:p w14:paraId="33BC7FEF" w14:textId="3ED9C5F2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Describes choice</w:t>
            </w:r>
            <w:r w:rsidR="00DB7D3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 as a factor affecting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6184B337" w14:textId="438BADDB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Explains choice</w:t>
            </w:r>
            <w:r w:rsidR="00DB7D3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 as a factor affecting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7" w:type="dxa"/>
          </w:tcPr>
          <w:p w14:paraId="3ADC1D95" w14:textId="60997556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Analyses choice</w:t>
            </w:r>
            <w:r w:rsidR="00DB7D3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 as a factor affecting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362B4F" w:rsidRPr="00242AC0" w14:paraId="2E4C0525" w14:textId="77777777" w:rsidTr="00362B4F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362B4F" w:rsidRPr="00242AC0" w:rsidRDefault="00362B4F" w:rsidP="00362B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FD77ED" w14:textId="2FF2C1AE" w:rsidR="00362B4F" w:rsidRPr="00443A55" w:rsidRDefault="00362B4F" w:rsidP="00362B4F">
            <w:pPr>
              <w:pStyle w:val="VCAAtablecondensedbullet"/>
              <w:tabs>
                <w:tab w:val="clear" w:pos="425"/>
              </w:tabs>
              <w:spacing w:line="240" w:lineRule="auto"/>
              <w:ind w:left="178" w:hanging="178"/>
              <w:rPr>
                <w:szCs w:val="20"/>
              </w:rPr>
            </w:pPr>
            <w:r>
              <w:t>r</w:t>
            </w:r>
            <w:r w:rsidRPr="00791350">
              <w:t>elationship</w:t>
            </w:r>
            <w:r>
              <w:t xml:space="preserve"> </w:t>
            </w:r>
            <w:r w:rsidRPr="00791350">
              <w:t xml:space="preserve">between food access, </w:t>
            </w:r>
            <w:r w:rsidRPr="007F330E">
              <w:t>values, beliefs and choice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DFEEBF0" w14:textId="1DADA7E2" w:rsidR="00362B4F" w:rsidRPr="001A60E4" w:rsidRDefault="00362B4F" w:rsidP="00D93B2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6174105C" w14:textId="7A3748B8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Identifies relationship between food access, values, beliefs and/or choice</w:t>
            </w:r>
            <w:r w:rsidR="00DB7D3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 on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3CA48924" w14:textId="35EDAAF0" w:rsidR="00362B4F" w:rsidRPr="00362B4F" w:rsidRDefault="00362B4F" w:rsidP="00362B4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Outlines relationship between food access, values, beliefs and choice</w:t>
            </w:r>
            <w:r w:rsidR="00DB7D3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 on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0F2DFD40" w14:textId="79C388D5" w:rsidR="00362B4F" w:rsidRPr="00362B4F" w:rsidRDefault="00362B4F" w:rsidP="006E473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Describes relationship between food access values, beliefs and choice</w:t>
            </w:r>
            <w:r w:rsidR="00DB7D3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 on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72594B8D" w14:textId="5D6556CD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Explains relationship between food access, values, beliefs and choice</w:t>
            </w:r>
            <w:r w:rsidR="00DB7D3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 on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7" w:type="dxa"/>
          </w:tcPr>
          <w:p w14:paraId="66B44F1D" w14:textId="13BFE765" w:rsidR="00362B4F" w:rsidRPr="00362B4F" w:rsidRDefault="00362B4F" w:rsidP="00362B4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62B4F">
              <w:rPr>
                <w:rFonts w:ascii="Arial Narrow" w:hAnsi="Arial Narrow" w:cs="Arial"/>
                <w:sz w:val="20"/>
                <w:szCs w:val="20"/>
              </w:rPr>
              <w:t>Examines relationship between food access, values, beliefs and choice</w:t>
            </w:r>
            <w:r w:rsidR="00DB7D3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362B4F">
              <w:rPr>
                <w:rFonts w:ascii="Arial Narrow" w:hAnsi="Arial Narrow" w:cs="Arial"/>
                <w:sz w:val="20"/>
                <w:szCs w:val="20"/>
              </w:rPr>
              <w:t xml:space="preserve"> on food behaviours of individuals</w:t>
            </w:r>
            <w:r w:rsidR="001A60E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1A60E4" w:rsidRPr="00242AC0" w14:paraId="29B3FBFC" w14:textId="77777777" w:rsidTr="00362B4F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73E905AC" w14:textId="77777777" w:rsidR="001A60E4" w:rsidRPr="00242AC0" w:rsidRDefault="001A60E4" w:rsidP="001A60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F57F85" w14:textId="3F2F6F78" w:rsidR="001A60E4" w:rsidRPr="00443A55" w:rsidRDefault="001A60E4" w:rsidP="001A60E4">
            <w:pPr>
              <w:pStyle w:val="VCAAtablecondensedbulletlessspace"/>
              <w:rPr>
                <w:szCs w:val="20"/>
              </w:rPr>
            </w:pPr>
            <w:r>
              <w:t>factors that influence planning and preparing healthy meals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D369396" w14:textId="4962EC63" w:rsidR="001A60E4" w:rsidRPr="001A60E4" w:rsidRDefault="001A60E4" w:rsidP="00D93B2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4D8BA014" w14:textId="2F32AEF5" w:rsidR="001A60E4" w:rsidRPr="001A60E4" w:rsidRDefault="001A60E4" w:rsidP="001A60E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Identifies factors that influence planning and preparing healthy meals for children and families through practical activities.</w:t>
            </w:r>
          </w:p>
        </w:tc>
        <w:tc>
          <w:tcPr>
            <w:tcW w:w="2176" w:type="dxa"/>
          </w:tcPr>
          <w:p w14:paraId="0088FE34" w14:textId="466EBB01" w:rsidR="001A60E4" w:rsidRPr="001A60E4" w:rsidRDefault="001A60E4" w:rsidP="001A60E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Outlines factors that influence planning and preparing healthy meals for children and families through practical activities.</w:t>
            </w:r>
          </w:p>
        </w:tc>
        <w:tc>
          <w:tcPr>
            <w:tcW w:w="2176" w:type="dxa"/>
          </w:tcPr>
          <w:p w14:paraId="228CC9B0" w14:textId="2108F294" w:rsidR="001A60E4" w:rsidRPr="001A60E4" w:rsidRDefault="001A60E4" w:rsidP="001A60E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Describes factors that influence planning and preparing healthy meals for children and families through practical activities.</w:t>
            </w:r>
          </w:p>
        </w:tc>
        <w:tc>
          <w:tcPr>
            <w:tcW w:w="2176" w:type="dxa"/>
          </w:tcPr>
          <w:p w14:paraId="0E2232A5" w14:textId="6F4EC9BE" w:rsidR="001A60E4" w:rsidRPr="001A60E4" w:rsidRDefault="001A60E4" w:rsidP="001A60E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Explains factors that influence planning and preparing healthy meals for children and families through practical activities.</w:t>
            </w:r>
          </w:p>
        </w:tc>
        <w:tc>
          <w:tcPr>
            <w:tcW w:w="2177" w:type="dxa"/>
          </w:tcPr>
          <w:p w14:paraId="50FD8A6B" w14:textId="3C9E5DC8" w:rsidR="001A60E4" w:rsidRPr="001A60E4" w:rsidRDefault="001A60E4" w:rsidP="001A60E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Evaluates factors that influence planning and preparing healthy meals for children and families through practical activities.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3019358F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1A60E4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376B6A">
        <w:tc>
          <w:tcPr>
            <w:tcW w:w="2062" w:type="dxa"/>
            <w:vAlign w:val="center"/>
          </w:tcPr>
          <w:p w14:paraId="521D7622" w14:textId="6BD486AD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1A60E4">
              <w:rPr>
                <w:sz w:val="18"/>
                <w:szCs w:val="18"/>
              </w:rPr>
              <w:t>10</w:t>
            </w:r>
          </w:p>
        </w:tc>
        <w:tc>
          <w:tcPr>
            <w:tcW w:w="2063" w:type="dxa"/>
            <w:vAlign w:val="center"/>
          </w:tcPr>
          <w:p w14:paraId="4F49E58B" w14:textId="196A0904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1A60E4">
              <w:rPr>
                <w:sz w:val="18"/>
                <w:szCs w:val="18"/>
              </w:rPr>
              <w:t>11</w:t>
            </w:r>
            <w:r w:rsidRPr="004B7620">
              <w:rPr>
                <w:sz w:val="18"/>
                <w:szCs w:val="18"/>
              </w:rPr>
              <w:t>–</w:t>
            </w:r>
            <w:r w:rsidR="001A60E4">
              <w:rPr>
                <w:sz w:val="18"/>
                <w:szCs w:val="18"/>
              </w:rPr>
              <w:t>20</w:t>
            </w:r>
          </w:p>
        </w:tc>
        <w:tc>
          <w:tcPr>
            <w:tcW w:w="2063" w:type="dxa"/>
            <w:vAlign w:val="center"/>
          </w:tcPr>
          <w:p w14:paraId="60F7F49D" w14:textId="13BA63CF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1A60E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–</w:t>
            </w:r>
            <w:r w:rsidR="001A60E4">
              <w:rPr>
                <w:sz w:val="18"/>
                <w:szCs w:val="18"/>
              </w:rPr>
              <w:t>30</w:t>
            </w:r>
          </w:p>
        </w:tc>
        <w:tc>
          <w:tcPr>
            <w:tcW w:w="2063" w:type="dxa"/>
            <w:vAlign w:val="center"/>
          </w:tcPr>
          <w:p w14:paraId="23701330" w14:textId="258C3C89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1A60E4">
              <w:rPr>
                <w:sz w:val="18"/>
                <w:szCs w:val="18"/>
              </w:rPr>
              <w:t>31</w:t>
            </w:r>
            <w:r w:rsidRPr="004B7620">
              <w:rPr>
                <w:sz w:val="18"/>
                <w:szCs w:val="18"/>
              </w:rPr>
              <w:t>–</w:t>
            </w:r>
            <w:r w:rsidR="001A60E4">
              <w:rPr>
                <w:sz w:val="18"/>
                <w:szCs w:val="18"/>
              </w:rPr>
              <w:t>40</w:t>
            </w:r>
          </w:p>
        </w:tc>
        <w:tc>
          <w:tcPr>
            <w:tcW w:w="2063" w:type="dxa"/>
            <w:vAlign w:val="center"/>
          </w:tcPr>
          <w:p w14:paraId="1D9CDE59" w14:textId="6728580B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1A60E4">
              <w:rPr>
                <w:sz w:val="18"/>
                <w:szCs w:val="18"/>
              </w:rPr>
              <w:t>41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5</w:t>
            </w:r>
            <w:r w:rsidR="001A60E4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62B4F" w:rsidRDefault="00362B4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62B4F" w:rsidRDefault="00362B4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362B4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6428268A" w:rsidR="00362B4F" w:rsidRPr="00D06414" w:rsidRDefault="00362B4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362B4F" w:rsidRPr="00D06414" w:rsidRDefault="00362B4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7824D53" w:rsidR="00362B4F" w:rsidRPr="00D06414" w:rsidRDefault="00362B4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B75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62B4F" w:rsidRPr="00D06414" w:rsidRDefault="00362B4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362B4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03EEFD3" w:rsidR="00362B4F" w:rsidRPr="00D06414" w:rsidRDefault="00362B4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62B4F" w:rsidRPr="00D06414" w:rsidRDefault="00362B4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62B4F" w:rsidRPr="00D06414" w:rsidRDefault="00362B4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62B4F" w:rsidRPr="00D06414" w:rsidRDefault="00362B4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62B4F" w:rsidRDefault="00362B4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62B4F" w:rsidRDefault="00362B4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92DFB36" w:rsidR="00362B4F" w:rsidRPr="00D86DE4" w:rsidRDefault="00DB7D3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2B4F">
          <w:rPr>
            <w:color w:val="999999" w:themeColor="accent2"/>
          </w:rPr>
          <w:t xml:space="preserve">VCE </w:t>
        </w:r>
        <w:r w:rsidR="001A60E4">
          <w:rPr>
            <w:color w:val="999999" w:themeColor="accent2"/>
          </w:rPr>
          <w:t>Food Studies</w:t>
        </w:r>
        <w:r w:rsidR="00362B4F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62B4F" w:rsidRPr="009370BC" w:rsidRDefault="00362B4F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B75AF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93B2B"/>
    <w:rsid w:val="00DB7D35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5692C-0D4C-4529-B962-A19B3C52D2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BC3DF-E76F-49A4-A6F7-32BC26A619C9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Food Studies: Performance descriptors</vt:lpstr>
    </vt:vector>
  </TitlesOfParts>
  <Company>Victorian Curriculum and Assessment Authority</Company>
  <LinksUpToDate>false</LinksUpToDate>
  <CharactersWithSpaces>3757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Food Studies: Performance descriptors</dc:title>
  <dc:subject>VCE Food Studies</dc:subject>
  <dc:creator>vcaa@education.vic.gov.au</dc:creator>
  <cp:keywords>food studies, performance descriptors, unit 3, outcome 2</cp:keywords>
  <cp:lastModifiedBy>Julie Coleman</cp:lastModifiedBy>
  <cp:revision>7</cp:revision>
  <cp:lastPrinted>2015-05-15T02:36:00Z</cp:lastPrinted>
  <dcterms:created xsi:type="dcterms:W3CDTF">2022-01-12T01:09:00Z</dcterms:created>
  <dcterms:modified xsi:type="dcterms:W3CDTF">2022-11-22T03:04:00Z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