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09464" w14:textId="3F777BEE" w:rsidR="00981581" w:rsidRDefault="00981581" w:rsidP="00B75A82">
      <w:pPr>
        <w:pStyle w:val="VCAAHeading1"/>
      </w:pPr>
      <w:r>
        <w:t>Levels 9 and 10: C</w:t>
      </w:r>
      <w:r w:rsidRPr="00F40EC3">
        <w:t xml:space="preserve">ontinuity and </w:t>
      </w:r>
      <w:r>
        <w:t>C</w:t>
      </w:r>
      <w:r w:rsidRPr="00F40EC3">
        <w:t>hange</w:t>
      </w:r>
      <w:r w:rsidR="00B75A82">
        <w:t xml:space="preserve"> – Teacher Notes</w:t>
      </w:r>
    </w:p>
    <w:p w14:paraId="296C868A" w14:textId="35217C1D" w:rsidR="00981581" w:rsidRPr="00F40EC3" w:rsidRDefault="00981581" w:rsidP="00B75A82">
      <w:pPr>
        <w:pStyle w:val="VCAAHeading2"/>
      </w:pPr>
      <w:r>
        <w:t>Activity 1</w:t>
      </w:r>
    </w:p>
    <w:p w14:paraId="24A4F3D5" w14:textId="1979566F" w:rsidR="00981581" w:rsidRDefault="00981581" w:rsidP="00981581">
      <w:pPr>
        <w:pStyle w:val="VCAAnumbers"/>
      </w:pPr>
      <w:r w:rsidRPr="00F40EC3">
        <w:t xml:space="preserve">What do you think continuity means?  </w:t>
      </w:r>
    </w:p>
    <w:tbl>
      <w:tblPr>
        <w:tblStyle w:val="TableGrid"/>
        <w:tblW w:w="0" w:type="auto"/>
        <w:tblInd w:w="421" w:type="dxa"/>
        <w:tblLook w:val="04A0" w:firstRow="1" w:lastRow="0" w:firstColumn="1" w:lastColumn="0" w:noHBand="0" w:noVBand="1"/>
      </w:tblPr>
      <w:tblGrid>
        <w:gridCol w:w="9208"/>
      </w:tblGrid>
      <w:tr w:rsidR="0002121E" w14:paraId="2D2E5B94" w14:textId="77777777" w:rsidTr="002E3A8C">
        <w:tc>
          <w:tcPr>
            <w:tcW w:w="9208" w:type="dxa"/>
            <w:shd w:val="clear" w:color="auto" w:fill="EAEAEA" w:themeFill="accent2" w:themeFillTint="33"/>
          </w:tcPr>
          <w:p w14:paraId="346E0ECB" w14:textId="77777777" w:rsidR="0002121E" w:rsidRPr="0002121E" w:rsidRDefault="0002121E" w:rsidP="0002121E">
            <w:pPr>
              <w:pStyle w:val="VCAAbody"/>
            </w:pPr>
            <w:r w:rsidRPr="0002121E">
              <w:t xml:space="preserve">Student answers will vary but a sample answer might be: </w:t>
            </w:r>
          </w:p>
          <w:p w14:paraId="533180FD" w14:textId="3060EC65" w:rsidR="0002121E" w:rsidRDefault="0002121E" w:rsidP="0002121E">
            <w:pPr>
              <w:pStyle w:val="VCAAbody"/>
            </w:pPr>
            <w:r w:rsidRPr="0002121E">
              <w:t>‘Not all things change over time</w:t>
            </w:r>
            <w:r w:rsidR="00B513BF">
              <w:t>;</w:t>
            </w:r>
            <w:r w:rsidRPr="0002121E">
              <w:t xml:space="preserve"> some things remain the same across long periods in time, sometimes lasting into the modern world. So, </w:t>
            </w:r>
            <w:r w:rsidRPr="0002121E">
              <w:rPr>
                <w:b/>
                <w:bCs/>
              </w:rPr>
              <w:t xml:space="preserve">continuity </w:t>
            </w:r>
            <w:r w:rsidRPr="0002121E">
              <w:t>refers to things that stay the same, relatively unchanged, over time.’</w:t>
            </w:r>
          </w:p>
        </w:tc>
      </w:tr>
    </w:tbl>
    <w:p w14:paraId="36386148" w14:textId="68BB7DA8" w:rsidR="00981581" w:rsidRDefault="00981581" w:rsidP="00981581">
      <w:pPr>
        <w:pStyle w:val="VCAAnumbers"/>
      </w:pPr>
      <w:r w:rsidRPr="00F40EC3">
        <w:t xml:space="preserve">What do you think change means? </w:t>
      </w:r>
    </w:p>
    <w:tbl>
      <w:tblPr>
        <w:tblStyle w:val="TableGrid"/>
        <w:tblW w:w="0" w:type="auto"/>
        <w:tblInd w:w="421" w:type="dxa"/>
        <w:tblLook w:val="04A0" w:firstRow="1" w:lastRow="0" w:firstColumn="1" w:lastColumn="0" w:noHBand="0" w:noVBand="1"/>
      </w:tblPr>
      <w:tblGrid>
        <w:gridCol w:w="9208"/>
      </w:tblGrid>
      <w:tr w:rsidR="0002121E" w14:paraId="3D7D1E49" w14:textId="77777777" w:rsidTr="002E3A8C">
        <w:tc>
          <w:tcPr>
            <w:tcW w:w="9208" w:type="dxa"/>
            <w:shd w:val="clear" w:color="auto" w:fill="EAEAEA" w:themeFill="accent2" w:themeFillTint="33"/>
          </w:tcPr>
          <w:p w14:paraId="69788DFC" w14:textId="77777777" w:rsidR="0002121E" w:rsidRPr="0002121E" w:rsidRDefault="0002121E" w:rsidP="0002121E">
            <w:pPr>
              <w:pStyle w:val="VCAAbody"/>
            </w:pPr>
            <w:r w:rsidRPr="0002121E">
              <w:t xml:space="preserve">Student answers will vary but a sample answer might be: </w:t>
            </w:r>
          </w:p>
          <w:p w14:paraId="50EBF901" w14:textId="77777777" w:rsidR="0002121E" w:rsidRPr="0002121E" w:rsidRDefault="0002121E" w:rsidP="0002121E">
            <w:pPr>
              <w:pStyle w:val="VCAAbody"/>
            </w:pPr>
            <w:r>
              <w:t>‘</w:t>
            </w:r>
            <w:r w:rsidRPr="0002121E">
              <w:t>Change refers to something that is obviously different from what occurred previously.</w:t>
            </w:r>
            <w:r>
              <w:t>’</w:t>
            </w:r>
          </w:p>
          <w:p w14:paraId="1B0582F1" w14:textId="02452182" w:rsidR="0002121E" w:rsidRDefault="0002121E" w:rsidP="0002121E">
            <w:pPr>
              <w:pStyle w:val="VCAAbody"/>
            </w:pPr>
            <w:r w:rsidRPr="0002121E">
              <w:t>Explain to your students that one way to identify continuity and change is to examine two points in time to look for what has changed and what has stayed the same.</w:t>
            </w:r>
          </w:p>
        </w:tc>
      </w:tr>
    </w:tbl>
    <w:p w14:paraId="2BF8D8FB" w14:textId="1159A9FF" w:rsidR="00981581" w:rsidRPr="00642721" w:rsidRDefault="00981581" w:rsidP="00981581">
      <w:pPr>
        <w:pStyle w:val="VCAAnumbers"/>
      </w:pPr>
      <w:r w:rsidRPr="00642721">
        <w:t xml:space="preserve">Examine </w:t>
      </w:r>
      <w:r>
        <w:t xml:space="preserve">the following photographs </w:t>
      </w:r>
      <w:r w:rsidRPr="00642721">
        <w:t>carefully</w:t>
      </w:r>
      <w:r>
        <w:t>. Can</w:t>
      </w:r>
      <w:r w:rsidRPr="00642721">
        <w:t xml:space="preserve"> you identify examples of continuity and change between the two photos?</w:t>
      </w:r>
    </w:p>
    <w:tbl>
      <w:tblPr>
        <w:tblStyle w:val="TableGrid"/>
        <w:tblW w:w="0" w:type="auto"/>
        <w:tblInd w:w="421" w:type="dxa"/>
        <w:tblLook w:val="04A0" w:firstRow="1" w:lastRow="0" w:firstColumn="1" w:lastColumn="0" w:noHBand="0" w:noVBand="1"/>
      </w:tblPr>
      <w:tblGrid>
        <w:gridCol w:w="9208"/>
      </w:tblGrid>
      <w:tr w:rsidR="00612C70" w14:paraId="4CFF9D40" w14:textId="77777777" w:rsidTr="002E3A8C">
        <w:tc>
          <w:tcPr>
            <w:tcW w:w="9208" w:type="dxa"/>
            <w:shd w:val="clear" w:color="auto" w:fill="EAEAEA" w:themeFill="accent2" w:themeFillTint="33"/>
          </w:tcPr>
          <w:p w14:paraId="16958AA6" w14:textId="68948A8F" w:rsidR="00612C70" w:rsidRDefault="00612C70" w:rsidP="00612C70">
            <w:pPr>
              <w:pStyle w:val="VCAAbody"/>
            </w:pPr>
            <w:r w:rsidRPr="00121115">
              <w:t>Student answers will vary but should include the following:</w:t>
            </w:r>
          </w:p>
          <w:tbl>
            <w:tblPr>
              <w:tblStyle w:val="TableGrid"/>
              <w:tblW w:w="0" w:type="auto"/>
              <w:tblInd w:w="421" w:type="dxa"/>
              <w:tblLook w:val="04A0" w:firstRow="1" w:lastRow="0" w:firstColumn="1" w:lastColumn="0" w:noHBand="0" w:noVBand="1"/>
            </w:tblPr>
            <w:tblGrid>
              <w:gridCol w:w="3785"/>
              <w:gridCol w:w="3785"/>
            </w:tblGrid>
            <w:tr w:rsidR="00612C70" w14:paraId="18C144F4" w14:textId="77777777" w:rsidTr="00612C70">
              <w:tc>
                <w:tcPr>
                  <w:tcW w:w="3785" w:type="dxa"/>
                  <w:shd w:val="clear" w:color="auto" w:fill="0F7EB4"/>
                </w:tcPr>
                <w:p w14:paraId="01F4CA51" w14:textId="3A002529" w:rsidR="00612C70" w:rsidRPr="00612C70" w:rsidRDefault="00612C70" w:rsidP="00612C70">
                  <w:pPr>
                    <w:pStyle w:val="VCAAtablecondensedheading"/>
                    <w:rPr>
                      <w:b/>
                      <w:bCs/>
                    </w:rPr>
                  </w:pPr>
                  <w:r w:rsidRPr="00612C70">
                    <w:rPr>
                      <w:b/>
                      <w:bCs/>
                    </w:rPr>
                    <w:t>Continuit</w:t>
                  </w:r>
                  <w:r w:rsidR="000D5C52">
                    <w:rPr>
                      <w:b/>
                      <w:bCs/>
                    </w:rPr>
                    <w:t>ies</w:t>
                  </w:r>
                </w:p>
              </w:tc>
              <w:tc>
                <w:tcPr>
                  <w:tcW w:w="3785" w:type="dxa"/>
                  <w:shd w:val="clear" w:color="auto" w:fill="0F7EB4"/>
                </w:tcPr>
                <w:p w14:paraId="270227E5" w14:textId="329E574F" w:rsidR="00612C70" w:rsidRPr="00612C70" w:rsidRDefault="00612C70" w:rsidP="00612C70">
                  <w:pPr>
                    <w:pStyle w:val="VCAAtablecondensedheading"/>
                    <w:rPr>
                      <w:b/>
                      <w:bCs/>
                    </w:rPr>
                  </w:pPr>
                  <w:r w:rsidRPr="00612C70">
                    <w:rPr>
                      <w:b/>
                      <w:bCs/>
                    </w:rPr>
                    <w:t>Change</w:t>
                  </w:r>
                  <w:r w:rsidR="000D5C52">
                    <w:rPr>
                      <w:b/>
                      <w:bCs/>
                    </w:rPr>
                    <w:t>s</w:t>
                  </w:r>
                </w:p>
              </w:tc>
            </w:tr>
            <w:tr w:rsidR="00612C70" w14:paraId="743BB7F5" w14:textId="77777777" w:rsidTr="00612C70">
              <w:tc>
                <w:tcPr>
                  <w:tcW w:w="3785" w:type="dxa"/>
                </w:tcPr>
                <w:p w14:paraId="497EF711" w14:textId="3623BFE0" w:rsidR="00612C70" w:rsidRPr="00421F9F" w:rsidRDefault="00612C70" w:rsidP="00612C70">
                  <w:pPr>
                    <w:pStyle w:val="VCAAtablecondensed"/>
                  </w:pPr>
                  <w:r w:rsidRPr="00421F9F">
                    <w:t>Comfortable chairs</w:t>
                  </w:r>
                </w:p>
              </w:tc>
              <w:tc>
                <w:tcPr>
                  <w:tcW w:w="3785" w:type="dxa"/>
                </w:tcPr>
                <w:p w14:paraId="26D92A62" w14:textId="77777777" w:rsidR="00612C70" w:rsidRPr="00421F9F" w:rsidRDefault="00612C70" w:rsidP="00612C70">
                  <w:pPr>
                    <w:pStyle w:val="VCAAtablecondensed"/>
                  </w:pPr>
                  <w:r w:rsidRPr="10B192D5">
                    <w:t>The form of entertainment (the television) is more technologically sophisticated</w:t>
                  </w:r>
                </w:p>
              </w:tc>
            </w:tr>
            <w:tr w:rsidR="00612C70" w14:paraId="72EFC7D4" w14:textId="77777777" w:rsidTr="00612C70">
              <w:tc>
                <w:tcPr>
                  <w:tcW w:w="3785" w:type="dxa"/>
                </w:tcPr>
                <w:p w14:paraId="320D2159" w14:textId="769E98DD" w:rsidR="00612C70" w:rsidRPr="00421F9F" w:rsidRDefault="00612C70" w:rsidP="00612C70">
                  <w:pPr>
                    <w:pStyle w:val="VCAAtablecondensed"/>
                  </w:pPr>
                  <w:r w:rsidRPr="00421F9F">
                    <w:t xml:space="preserve">A form of entertainment </w:t>
                  </w:r>
                  <w:r w:rsidR="00B513BF">
                    <w:t>–</w:t>
                  </w:r>
                  <w:r w:rsidRPr="00421F9F">
                    <w:t xml:space="preserve"> the gramophone in 1907 and the television in 2020</w:t>
                  </w:r>
                </w:p>
              </w:tc>
              <w:tc>
                <w:tcPr>
                  <w:tcW w:w="3785" w:type="dxa"/>
                </w:tcPr>
                <w:p w14:paraId="3CC52A2D" w14:textId="77777777" w:rsidR="00612C70" w:rsidRPr="00421F9F" w:rsidRDefault="00612C70" w:rsidP="00612C70">
                  <w:pPr>
                    <w:pStyle w:val="VCAAtablecondensed"/>
                  </w:pPr>
                  <w:r w:rsidRPr="00421F9F">
                    <w:t>Air conditioning unit</w:t>
                  </w:r>
                </w:p>
              </w:tc>
            </w:tr>
            <w:tr w:rsidR="00612C70" w14:paraId="64DC1CCE" w14:textId="77777777" w:rsidTr="00612C70">
              <w:tc>
                <w:tcPr>
                  <w:tcW w:w="3785" w:type="dxa"/>
                </w:tcPr>
                <w:p w14:paraId="73D1F4CB" w14:textId="77777777" w:rsidR="00612C70" w:rsidRPr="00421F9F" w:rsidRDefault="00612C70" w:rsidP="00612C70">
                  <w:pPr>
                    <w:pStyle w:val="VCAAtablecondensed"/>
                  </w:pPr>
                  <w:r w:rsidRPr="00421F9F">
                    <w:t>Side tables with photographs and flowers in vases</w:t>
                  </w:r>
                </w:p>
              </w:tc>
              <w:tc>
                <w:tcPr>
                  <w:tcW w:w="3785" w:type="dxa"/>
                </w:tcPr>
                <w:p w14:paraId="58A8F56C" w14:textId="72EF784A" w:rsidR="00612C70" w:rsidRPr="00421F9F" w:rsidRDefault="00612C70" w:rsidP="00612C70">
                  <w:pPr>
                    <w:pStyle w:val="VCAAtablecondensed"/>
                  </w:pPr>
                  <w:r w:rsidRPr="00421F9F">
                    <w:t xml:space="preserve">Electronic personal devices </w:t>
                  </w:r>
                  <w:r w:rsidR="00B513BF">
                    <w:t>–</w:t>
                  </w:r>
                  <w:r w:rsidRPr="00421F9F">
                    <w:t xml:space="preserve"> laptop and iPad</w:t>
                  </w:r>
                </w:p>
              </w:tc>
            </w:tr>
            <w:tr w:rsidR="00612C70" w14:paraId="208798BD" w14:textId="77777777" w:rsidTr="00612C70">
              <w:tc>
                <w:tcPr>
                  <w:tcW w:w="3785" w:type="dxa"/>
                </w:tcPr>
                <w:p w14:paraId="6B49EC3E" w14:textId="77777777" w:rsidR="00612C70" w:rsidRPr="00421F9F" w:rsidRDefault="00612C70" w:rsidP="00612C70">
                  <w:pPr>
                    <w:pStyle w:val="VCAAtablecondensed"/>
                  </w:pPr>
                  <w:r w:rsidRPr="00421F9F">
                    <w:t>Framed pictures on the wall</w:t>
                  </w:r>
                </w:p>
              </w:tc>
              <w:tc>
                <w:tcPr>
                  <w:tcW w:w="3785" w:type="dxa"/>
                </w:tcPr>
                <w:p w14:paraId="0DF8E576" w14:textId="3202F99B" w:rsidR="00612C70" w:rsidRPr="00421F9F" w:rsidRDefault="00612C70" w:rsidP="00612C70">
                  <w:pPr>
                    <w:pStyle w:val="VCAAtablecondensed"/>
                  </w:pPr>
                  <w:r w:rsidRPr="00421F9F">
                    <w:t>No evidence of electricity in 1907 (the gramophone is wind up)</w:t>
                  </w:r>
                  <w:r w:rsidR="00B513BF">
                    <w:t>;</w:t>
                  </w:r>
                  <w:r w:rsidRPr="00421F9F">
                    <w:t xml:space="preserve"> the television and air conditioning need electricity to work.</w:t>
                  </w:r>
                </w:p>
              </w:tc>
            </w:tr>
          </w:tbl>
          <w:p w14:paraId="73422E85" w14:textId="77777777" w:rsidR="00612C70" w:rsidRDefault="00612C70" w:rsidP="00612C70">
            <w:pPr>
              <w:pStyle w:val="VCAAnumbers"/>
              <w:numPr>
                <w:ilvl w:val="0"/>
                <w:numId w:val="0"/>
              </w:numPr>
              <w:ind w:left="425"/>
            </w:pPr>
          </w:p>
        </w:tc>
      </w:tr>
    </w:tbl>
    <w:p w14:paraId="341FDA41" w14:textId="77777777" w:rsidR="00612C70" w:rsidRDefault="00612C70" w:rsidP="00981581">
      <w:pPr>
        <w:pStyle w:val="VCAAbody"/>
        <w:rPr>
          <w:b/>
          <w:bCs/>
        </w:rPr>
      </w:pPr>
    </w:p>
    <w:p w14:paraId="0D8D3F01" w14:textId="77777777" w:rsidR="00612C70" w:rsidRDefault="00612C70" w:rsidP="00981581">
      <w:pPr>
        <w:pStyle w:val="VCAAHeading2"/>
      </w:pPr>
      <w:r>
        <w:br w:type="page"/>
      </w:r>
    </w:p>
    <w:p w14:paraId="61E444D4" w14:textId="3832BD19" w:rsidR="00981581" w:rsidRDefault="00981581" w:rsidP="00B75A82">
      <w:pPr>
        <w:pStyle w:val="VCAAHeading2"/>
      </w:pPr>
      <w:r w:rsidRPr="00F40EC3">
        <w:lastRenderedPageBreak/>
        <w:t xml:space="preserve">Activity </w:t>
      </w:r>
      <w:r>
        <w:t>2</w:t>
      </w:r>
    </w:p>
    <w:p w14:paraId="54479C04" w14:textId="4233C540" w:rsidR="00981581" w:rsidRDefault="00981581" w:rsidP="00981581">
      <w:pPr>
        <w:pStyle w:val="VCAAbody"/>
        <w:rPr>
          <w:color w:val="444444"/>
        </w:rPr>
      </w:pPr>
      <w:r w:rsidRPr="5C8F71AD">
        <w:t xml:space="preserve">To complete this activity, download </w:t>
      </w:r>
      <w:r>
        <w:t>the</w:t>
      </w:r>
      <w:r w:rsidRPr="5C8F71AD">
        <w:t xml:space="preserve"> </w:t>
      </w:r>
      <w:r w:rsidR="00E62B7D">
        <w:t>PDF</w:t>
      </w:r>
      <w:r w:rsidRPr="5C8F71AD">
        <w:t xml:space="preserve"> document </w:t>
      </w:r>
      <w:r>
        <w:t>‘</w:t>
      </w:r>
      <w:r w:rsidRPr="5C8F71AD">
        <w:t>4102 – Australian Social Trends</w:t>
      </w:r>
      <w:r>
        <w:t>’</w:t>
      </w:r>
      <w:r w:rsidRPr="5C8F71AD">
        <w:t xml:space="preserve"> from the </w:t>
      </w:r>
      <w:hyperlink r:id="rId11" w:history="1">
        <w:r w:rsidRPr="00981581">
          <w:rPr>
            <w:rStyle w:val="Hyperlink"/>
            <w:rFonts w:eastAsia="Arial"/>
          </w:rPr>
          <w:t>Australian Bureau of Statistics</w:t>
        </w:r>
      </w:hyperlink>
      <w:r w:rsidRPr="5C8F71AD">
        <w:t xml:space="preserve"> website</w:t>
      </w:r>
      <w:r>
        <w:t>.</w:t>
      </w:r>
    </w:p>
    <w:p w14:paraId="511D5486" w14:textId="096531AC" w:rsidR="00981581" w:rsidRDefault="00981581" w:rsidP="00981581">
      <w:pPr>
        <w:pStyle w:val="VCAAbody"/>
      </w:pPr>
      <w:r w:rsidRPr="5C8F71AD">
        <w:t xml:space="preserve">With a partner, examine the section called </w:t>
      </w:r>
      <w:r>
        <w:t>‘</w:t>
      </w:r>
      <w:r w:rsidRPr="5C8F71AD">
        <w:t>20th Century: beginning and end: Population Characteristics</w:t>
      </w:r>
      <w:r>
        <w:t>’</w:t>
      </w:r>
      <w:r w:rsidRPr="5C8F71AD">
        <w:t xml:space="preserve"> on p</w:t>
      </w:r>
      <w:r>
        <w:t>ages</w:t>
      </w:r>
      <w:r w:rsidRPr="5C8F71AD">
        <w:t xml:space="preserve"> 6</w:t>
      </w:r>
      <w:r>
        <w:t xml:space="preserve"> to </w:t>
      </w:r>
      <w:r w:rsidRPr="5C8F71AD">
        <w:t>10 and answer the following questions:</w:t>
      </w:r>
    </w:p>
    <w:p w14:paraId="6D408A0B" w14:textId="7EB6B172" w:rsidR="00981581" w:rsidRPr="00612C70" w:rsidRDefault="00981581" w:rsidP="00981581">
      <w:pPr>
        <w:pStyle w:val="VCAAnumbers"/>
        <w:numPr>
          <w:ilvl w:val="0"/>
          <w:numId w:val="9"/>
        </w:numPr>
        <w:ind w:hanging="1287"/>
        <w:rPr>
          <w:rFonts w:eastAsia="Arial"/>
        </w:rPr>
      </w:pPr>
      <w:r>
        <w:t>Identify</w:t>
      </w:r>
      <w:r w:rsidRPr="281A55CB">
        <w:t xml:space="preserve"> three to five aspects of Australian society in 1900.</w:t>
      </w:r>
    </w:p>
    <w:tbl>
      <w:tblPr>
        <w:tblStyle w:val="TableGrid"/>
        <w:tblW w:w="0" w:type="auto"/>
        <w:tblInd w:w="425" w:type="dxa"/>
        <w:tblLook w:val="04A0" w:firstRow="1" w:lastRow="0" w:firstColumn="1" w:lastColumn="0" w:noHBand="0" w:noVBand="1"/>
      </w:tblPr>
      <w:tblGrid>
        <w:gridCol w:w="9204"/>
      </w:tblGrid>
      <w:tr w:rsidR="00612C70" w14:paraId="7AB9594A" w14:textId="77777777" w:rsidTr="00612C70">
        <w:tc>
          <w:tcPr>
            <w:tcW w:w="9629" w:type="dxa"/>
            <w:shd w:val="clear" w:color="auto" w:fill="EAEAEA" w:themeFill="accent2" w:themeFillTint="33"/>
          </w:tcPr>
          <w:p w14:paraId="33A36185" w14:textId="77777777" w:rsidR="00612C70" w:rsidRDefault="00612C70" w:rsidP="00612C70">
            <w:pPr>
              <w:pStyle w:val="VCAAbody"/>
            </w:pPr>
            <w:r>
              <w:t>Your s</w:t>
            </w:r>
            <w:r w:rsidRPr="00C33D50">
              <w:t>tudent</w:t>
            </w:r>
            <w:r>
              <w:t>s’</w:t>
            </w:r>
            <w:r w:rsidRPr="00C33D50">
              <w:t xml:space="preserve"> answers will vary but </w:t>
            </w:r>
            <w:r>
              <w:t>could include the following:</w:t>
            </w:r>
          </w:p>
          <w:p w14:paraId="1DE10C0D" w14:textId="09BD38B6" w:rsidR="00612C70" w:rsidRDefault="0014472C" w:rsidP="00612C70">
            <w:pPr>
              <w:pStyle w:val="VCAAbullet"/>
            </w:pPr>
            <w:r>
              <w:t>m</w:t>
            </w:r>
            <w:r w:rsidR="00612C70">
              <w:t>ost people lived in the country</w:t>
            </w:r>
          </w:p>
          <w:p w14:paraId="5D98154E" w14:textId="0A28A7A2" w:rsidR="00612C70" w:rsidRDefault="0014472C" w:rsidP="00612C70">
            <w:pPr>
              <w:pStyle w:val="VCAAbullet"/>
            </w:pPr>
            <w:r>
              <w:t>y</w:t>
            </w:r>
            <w:r w:rsidR="00612C70">
              <w:t>ounger – 55% of population were under 25</w:t>
            </w:r>
          </w:p>
          <w:p w14:paraId="2E762F39" w14:textId="09FFE305" w:rsidR="00612C70" w:rsidRDefault="0014472C" w:rsidP="00612C70">
            <w:pPr>
              <w:pStyle w:val="VCAAbullet"/>
            </w:pPr>
            <w:r>
              <w:t>m</w:t>
            </w:r>
            <w:r w:rsidR="00612C70">
              <w:t>ainly Christian</w:t>
            </w:r>
          </w:p>
          <w:p w14:paraId="06FE680A" w14:textId="106D46D5" w:rsidR="00612C70" w:rsidRDefault="0014472C" w:rsidP="00612C70">
            <w:pPr>
              <w:pStyle w:val="VCAAbullet"/>
            </w:pPr>
            <w:r>
              <w:t>m</w:t>
            </w:r>
            <w:r w:rsidR="00612C70">
              <w:t>ore likely to be renting a home</w:t>
            </w:r>
          </w:p>
          <w:p w14:paraId="35D30025" w14:textId="322D61B6" w:rsidR="00612C70" w:rsidRDefault="0014472C" w:rsidP="00612C70">
            <w:pPr>
              <w:pStyle w:val="VCAAbullet"/>
            </w:pPr>
            <w:r>
              <w:t>m</w:t>
            </w:r>
            <w:r w:rsidR="00612C70">
              <w:t>ale dominated – 52% were men</w:t>
            </w:r>
            <w:r>
              <w:t>.</w:t>
            </w:r>
          </w:p>
        </w:tc>
      </w:tr>
    </w:tbl>
    <w:p w14:paraId="5FFCC161" w14:textId="514B6034" w:rsidR="00981581" w:rsidRDefault="00981581" w:rsidP="00981581">
      <w:pPr>
        <w:pStyle w:val="VCAAnumbers"/>
      </w:pPr>
      <w:r>
        <w:t>Evaluate each of these aspects by comparing them in 1900 and in 2000.</w:t>
      </w:r>
    </w:p>
    <w:tbl>
      <w:tblPr>
        <w:tblStyle w:val="TableGrid"/>
        <w:tblW w:w="9213" w:type="dxa"/>
        <w:tblInd w:w="421" w:type="dxa"/>
        <w:tblLook w:val="04A0" w:firstRow="1" w:lastRow="0" w:firstColumn="1" w:lastColumn="0" w:noHBand="0" w:noVBand="1"/>
      </w:tblPr>
      <w:tblGrid>
        <w:gridCol w:w="9213"/>
      </w:tblGrid>
      <w:tr w:rsidR="00612C70" w14:paraId="6E4F320D" w14:textId="77777777" w:rsidTr="00612C70">
        <w:tc>
          <w:tcPr>
            <w:tcW w:w="9213" w:type="dxa"/>
            <w:shd w:val="clear" w:color="auto" w:fill="EAEAEA" w:themeFill="accent2" w:themeFillTint="33"/>
          </w:tcPr>
          <w:p w14:paraId="6F401C53" w14:textId="77777777" w:rsidR="00612C70" w:rsidRDefault="00612C70" w:rsidP="00612C70">
            <w:pPr>
              <w:pStyle w:val="VCAAbody"/>
            </w:pPr>
            <w:r w:rsidRPr="006E515D">
              <w:t>Your students’ answers will vary but could include the following:</w:t>
            </w:r>
          </w:p>
          <w:p w14:paraId="098B82E2" w14:textId="4FE2D7EC" w:rsidR="00612C70" w:rsidRDefault="00612C70" w:rsidP="00612C70">
            <w:pPr>
              <w:pStyle w:val="VCAAbullet"/>
            </w:pPr>
            <w:r>
              <w:t>more women able to vote – in 1900 only women in South Australia and Western Australia; by 2000, 50.7% of women able to vote</w:t>
            </w:r>
          </w:p>
          <w:p w14:paraId="4828CCC7" w14:textId="272C9C67" w:rsidR="00612C70" w:rsidRDefault="00612C70" w:rsidP="00612C70">
            <w:pPr>
              <w:pStyle w:val="VCAAbullet"/>
            </w:pPr>
            <w:r>
              <w:t>more urbanised population – 53% live in cities</w:t>
            </w:r>
          </w:p>
          <w:p w14:paraId="6044BC5E" w14:textId="3C31F8FA" w:rsidR="00612C70" w:rsidRDefault="00612C70" w:rsidP="00612C70">
            <w:pPr>
              <w:pStyle w:val="VCAAbullet"/>
            </w:pPr>
            <w:r>
              <w:t>less Christian – now only 78% as opposed to 98% in 1900</w:t>
            </w:r>
          </w:p>
          <w:p w14:paraId="47FB4654" w14:textId="232DF23E" w:rsidR="00612C70" w:rsidRDefault="00612C70" w:rsidP="00612C70">
            <w:pPr>
              <w:pStyle w:val="VCAAbullet"/>
            </w:pPr>
            <w:r>
              <w:t>more likely to own a home – 71% either own or are buying their homes</w:t>
            </w:r>
          </w:p>
          <w:p w14:paraId="4238B9F3" w14:textId="77777777" w:rsidR="00612C70" w:rsidRDefault="00612C70" w:rsidP="00612C70">
            <w:pPr>
              <w:pStyle w:val="VCAAbullet"/>
            </w:pPr>
            <w:r>
              <w:t>m</w:t>
            </w:r>
            <w:r w:rsidRPr="00FB16AB">
              <w:t xml:space="preserve">ore people working in service-based industries </w:t>
            </w:r>
          </w:p>
          <w:p w14:paraId="0DC5D8BD" w14:textId="15427287" w:rsidR="00612C70" w:rsidRPr="00FB16AB" w:rsidRDefault="00612C70" w:rsidP="00612C70">
            <w:pPr>
              <w:pStyle w:val="VCAAbullet"/>
            </w:pPr>
            <w:r>
              <w:t>m</w:t>
            </w:r>
            <w:r w:rsidRPr="00FB16AB">
              <w:t>ost Australians still lived on the southern and eastern coasts</w:t>
            </w:r>
          </w:p>
          <w:p w14:paraId="7A18846D" w14:textId="03AEE559" w:rsidR="00612C70" w:rsidRDefault="00612C70" w:rsidP="00612C70">
            <w:pPr>
              <w:pStyle w:val="VCAAbullet"/>
            </w:pPr>
            <w:r>
              <w:t>majority of people were still born in Australia, the United Kingdom or Ireland</w:t>
            </w:r>
          </w:p>
          <w:p w14:paraId="199D4B87" w14:textId="3125D42E" w:rsidR="00612C70" w:rsidRDefault="00612C70" w:rsidP="00612C70">
            <w:pPr>
              <w:pStyle w:val="VCAAbullet"/>
            </w:pPr>
            <w:r>
              <w:t>women over 65 were still unlikely to be in the labour force</w:t>
            </w:r>
          </w:p>
          <w:p w14:paraId="3188F5EC" w14:textId="38DD0F2D" w:rsidR="00612C70" w:rsidRDefault="00612C70" w:rsidP="00612C70">
            <w:pPr>
              <w:pStyle w:val="VCAAbullet"/>
            </w:pPr>
            <w:r>
              <w:t>significant export income still derived from primary production industries.</w:t>
            </w:r>
          </w:p>
        </w:tc>
      </w:tr>
    </w:tbl>
    <w:p w14:paraId="7E9389F7" w14:textId="7D5EE4E9" w:rsidR="00981581" w:rsidRDefault="00981581" w:rsidP="00981581">
      <w:pPr>
        <w:pStyle w:val="VCAAnumbers"/>
      </w:pPr>
      <w:r w:rsidRPr="281A55CB">
        <w:t xml:space="preserve">Create a table </w:t>
      </w:r>
      <w:r>
        <w:t>that</w:t>
      </w:r>
      <w:r w:rsidRPr="281A55CB">
        <w:t xml:space="preserve"> outlines how these aspects of Australian society have stayed the same (continuity) and/or have changed.</w:t>
      </w:r>
    </w:p>
    <w:p w14:paraId="7D20BFDD" w14:textId="05C934A7" w:rsidR="00981581" w:rsidRDefault="00981581" w:rsidP="00981581">
      <w:pPr>
        <w:pStyle w:val="VCAAnumbers"/>
      </w:pPr>
      <w:r w:rsidRPr="281A55CB">
        <w:t>What do you think were the causes of the changes?</w:t>
      </w:r>
    </w:p>
    <w:tbl>
      <w:tblPr>
        <w:tblStyle w:val="TableGrid"/>
        <w:tblW w:w="9213" w:type="dxa"/>
        <w:tblInd w:w="421" w:type="dxa"/>
        <w:tblLook w:val="04A0" w:firstRow="1" w:lastRow="0" w:firstColumn="1" w:lastColumn="0" w:noHBand="0" w:noVBand="1"/>
      </w:tblPr>
      <w:tblGrid>
        <w:gridCol w:w="9213"/>
      </w:tblGrid>
      <w:tr w:rsidR="00612C70" w14:paraId="416EB6D2" w14:textId="77777777" w:rsidTr="00612C70">
        <w:tc>
          <w:tcPr>
            <w:tcW w:w="9213" w:type="dxa"/>
            <w:shd w:val="clear" w:color="auto" w:fill="EAEAEA" w:themeFill="accent2" w:themeFillTint="33"/>
          </w:tcPr>
          <w:p w14:paraId="4F686989" w14:textId="77777777" w:rsidR="00612C70" w:rsidRDefault="00612C70" w:rsidP="00612C70">
            <w:pPr>
              <w:pStyle w:val="VCAAbody"/>
            </w:pPr>
            <w:r w:rsidRPr="006E515D">
              <w:t>Your students’ answers will vary but could include the following:</w:t>
            </w:r>
          </w:p>
          <w:p w14:paraId="73A57F0A" w14:textId="4F68EF7A" w:rsidR="00612C70" w:rsidRPr="00AB54BB" w:rsidRDefault="00612C70" w:rsidP="00612C70">
            <w:pPr>
              <w:pStyle w:val="VCAAbullet"/>
            </w:pPr>
            <w:r>
              <w:t>s</w:t>
            </w:r>
            <w:r w:rsidRPr="00AB54BB">
              <w:t>cientific and technological advances</w:t>
            </w:r>
          </w:p>
          <w:p w14:paraId="2F078D68" w14:textId="3927E1D7" w:rsidR="00612C70" w:rsidRPr="00AB54BB" w:rsidRDefault="00612C70" w:rsidP="00612C70">
            <w:pPr>
              <w:pStyle w:val="VCAAbullet"/>
            </w:pPr>
            <w:r>
              <w:t>b</w:t>
            </w:r>
            <w:r w:rsidRPr="00AB54BB">
              <w:t>etter health care</w:t>
            </w:r>
          </w:p>
          <w:p w14:paraId="4FC8A27A" w14:textId="5B2CAF77" w:rsidR="00612C70" w:rsidRPr="00AB54BB" w:rsidRDefault="00612C70" w:rsidP="00612C70">
            <w:pPr>
              <w:pStyle w:val="VCAAbullet"/>
            </w:pPr>
            <w:r>
              <w:t>i</w:t>
            </w:r>
            <w:r w:rsidRPr="00AB54BB">
              <w:t>ncreasing population</w:t>
            </w:r>
          </w:p>
          <w:p w14:paraId="5F0DF809" w14:textId="28ADF03F" w:rsidR="00612C70" w:rsidRDefault="00612C70" w:rsidP="00612C70">
            <w:pPr>
              <w:pStyle w:val="VCAAbullet"/>
            </w:pPr>
            <w:r>
              <w:t>c</w:t>
            </w:r>
            <w:r w:rsidRPr="00AB54BB">
              <w:t>hanges to racist immigration policies</w:t>
            </w:r>
          </w:p>
          <w:p w14:paraId="3378EED2" w14:textId="2ECE593F" w:rsidR="00612C70" w:rsidRDefault="00612C70" w:rsidP="00612C70">
            <w:pPr>
              <w:pStyle w:val="VCAAbullet"/>
            </w:pPr>
            <w:r>
              <w:t>changes to attitudes about gender differences.</w:t>
            </w:r>
          </w:p>
        </w:tc>
      </w:tr>
    </w:tbl>
    <w:p w14:paraId="6C6D7A4B" w14:textId="77777777" w:rsidR="00981581" w:rsidRPr="002544D6" w:rsidRDefault="00981581" w:rsidP="00981581">
      <w:pPr>
        <w:pStyle w:val="VCAAnumbers"/>
      </w:pPr>
      <w:r w:rsidRPr="281A55CB">
        <w:t>What do you think were the reasons that some things remained the same?</w:t>
      </w:r>
    </w:p>
    <w:tbl>
      <w:tblPr>
        <w:tblStyle w:val="TableGrid"/>
        <w:tblW w:w="9213" w:type="dxa"/>
        <w:tblInd w:w="421" w:type="dxa"/>
        <w:tblLook w:val="04A0" w:firstRow="1" w:lastRow="0" w:firstColumn="1" w:lastColumn="0" w:noHBand="0" w:noVBand="1"/>
      </w:tblPr>
      <w:tblGrid>
        <w:gridCol w:w="9213"/>
      </w:tblGrid>
      <w:tr w:rsidR="00612C70" w14:paraId="3693F043" w14:textId="77777777" w:rsidTr="00612C70">
        <w:tc>
          <w:tcPr>
            <w:tcW w:w="9213" w:type="dxa"/>
            <w:shd w:val="clear" w:color="auto" w:fill="EAEAEA" w:themeFill="accent2" w:themeFillTint="33"/>
          </w:tcPr>
          <w:p w14:paraId="6474FFA6" w14:textId="77777777" w:rsidR="00612C70" w:rsidRDefault="00612C70" w:rsidP="00612C70">
            <w:pPr>
              <w:pStyle w:val="VCAAbody"/>
            </w:pPr>
            <w:r w:rsidRPr="006E515D">
              <w:t>Your students’ answers will vary but could include the following:</w:t>
            </w:r>
          </w:p>
          <w:p w14:paraId="77805DD1" w14:textId="10FAD5B6" w:rsidR="00612C70" w:rsidRDefault="00612C70" w:rsidP="00612C70">
            <w:pPr>
              <w:pStyle w:val="VCAAbullet"/>
            </w:pPr>
            <w:r>
              <w:t>Gender equality has still not been achieved.</w:t>
            </w:r>
          </w:p>
          <w:p w14:paraId="129C04F4" w14:textId="01E56A2F" w:rsidR="00612C70" w:rsidRDefault="00612C70" w:rsidP="00612C70">
            <w:pPr>
              <w:pStyle w:val="VCAAbullet"/>
            </w:pPr>
            <w:r>
              <w:t>Multicultural immigration policies were introduced quite late in the 20</w:t>
            </w:r>
            <w:r w:rsidRPr="00612C70">
              <w:t>th</w:t>
            </w:r>
            <w:r>
              <w:t xml:space="preserve"> century.</w:t>
            </w:r>
          </w:p>
          <w:p w14:paraId="05876756" w14:textId="2F7FA108" w:rsidR="00612C70" w:rsidRPr="00612C70" w:rsidRDefault="00612C70" w:rsidP="00612C70">
            <w:pPr>
              <w:pStyle w:val="VCAAbullet"/>
            </w:pPr>
            <w:r>
              <w:t>Geographically, Australia is rich in primary resources and fertile land.</w:t>
            </w:r>
          </w:p>
        </w:tc>
      </w:tr>
    </w:tbl>
    <w:p w14:paraId="492CA156" w14:textId="77777777" w:rsidR="00981581" w:rsidRDefault="00981581" w:rsidP="00981581">
      <w:pPr>
        <w:rPr>
          <w:rFonts w:ascii="Arial" w:hAnsi="Arial" w:cs="Arial"/>
          <w:i/>
          <w:iCs/>
        </w:rPr>
      </w:pPr>
    </w:p>
    <w:p w14:paraId="7CF158A8" w14:textId="77777777" w:rsidR="00981581" w:rsidRPr="00981581" w:rsidRDefault="00981581" w:rsidP="00981581"/>
    <w:sectPr w:rsidR="00981581" w:rsidRPr="00981581"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2E3A8C" w:rsidRDefault="002E3A8C" w:rsidP="00304EA1">
      <w:pPr>
        <w:spacing w:after="0" w:line="240" w:lineRule="auto"/>
      </w:pPr>
      <w:r>
        <w:separator/>
      </w:r>
    </w:p>
  </w:endnote>
  <w:endnote w:type="continuationSeparator" w:id="0">
    <w:p w14:paraId="3270DF94" w14:textId="77777777" w:rsidR="002E3A8C" w:rsidRDefault="002E3A8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2E3A8C" w:rsidRPr="00D06414" w14:paraId="6474FD3B" w14:textId="77777777" w:rsidTr="00BB3BAB">
      <w:trPr>
        <w:trHeight w:val="476"/>
      </w:trPr>
      <w:tc>
        <w:tcPr>
          <w:tcW w:w="1667" w:type="pct"/>
          <w:tcMar>
            <w:left w:w="0" w:type="dxa"/>
            <w:right w:w="0" w:type="dxa"/>
          </w:tcMar>
        </w:tcPr>
        <w:p w14:paraId="0EC15F2D" w14:textId="77777777" w:rsidR="002E3A8C" w:rsidRPr="00D06414" w:rsidRDefault="002E3A8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E3A8C" w:rsidRPr="00D06414" w:rsidRDefault="002E3A8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2E3A8C" w:rsidRPr="00D06414" w:rsidRDefault="002E3A8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2E3A8C" w:rsidRPr="00D06414" w:rsidRDefault="002E3A8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2E3A8C" w:rsidRPr="00D06414" w14:paraId="36A4ADC1" w14:textId="77777777" w:rsidTr="000F5AAF">
      <w:tc>
        <w:tcPr>
          <w:tcW w:w="1459" w:type="pct"/>
          <w:tcMar>
            <w:left w:w="0" w:type="dxa"/>
            <w:right w:w="0" w:type="dxa"/>
          </w:tcMar>
        </w:tcPr>
        <w:p w14:paraId="74DB1FC2" w14:textId="77777777" w:rsidR="002E3A8C" w:rsidRPr="00D06414" w:rsidRDefault="002E3A8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E3A8C" w:rsidRPr="00D06414" w:rsidRDefault="002E3A8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E3A8C" w:rsidRPr="00D06414" w:rsidRDefault="002E3A8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E3A8C" w:rsidRPr="00D06414" w:rsidRDefault="002E3A8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2E3A8C" w:rsidRDefault="002E3A8C" w:rsidP="00304EA1">
      <w:pPr>
        <w:spacing w:after="0" w:line="240" w:lineRule="auto"/>
      </w:pPr>
      <w:r>
        <w:separator/>
      </w:r>
    </w:p>
  </w:footnote>
  <w:footnote w:type="continuationSeparator" w:id="0">
    <w:p w14:paraId="13540A36" w14:textId="77777777" w:rsidR="002E3A8C" w:rsidRDefault="002E3A8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440F1B16" w:rsidR="002E3A8C" w:rsidRPr="00D86DE4" w:rsidRDefault="002E3A8C" w:rsidP="00D86DE4">
    <w:pPr>
      <w:pStyle w:val="VCAAcaptionsandfootnotes"/>
      <w:rPr>
        <w:color w:val="999999" w:themeColor="accent2"/>
      </w:rPr>
    </w:pPr>
    <w:r>
      <w:rPr>
        <w:color w:val="999999" w:themeColor="accent2"/>
        <w:lang w:val="en-AU"/>
      </w:rPr>
      <w:t>Levels 9 and 10: Continuity and Change</w:t>
    </w:r>
    <w:r w:rsidR="00B75A82">
      <w:rPr>
        <w:color w:val="999999" w:themeColor="accent2"/>
        <w:lang w:val="en-AU"/>
      </w:rPr>
      <w:t xml:space="preserve"> – Teacher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2E3A8C" w:rsidRPr="009370BC" w:rsidRDefault="002E3A8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07B6"/>
    <w:multiLevelType w:val="hybridMultilevel"/>
    <w:tmpl w:val="279A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374AF"/>
    <w:multiLevelType w:val="hybridMultilevel"/>
    <w:tmpl w:val="7646C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2C4C42"/>
    <w:multiLevelType w:val="hybridMultilevel"/>
    <w:tmpl w:val="9712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115408E"/>
    <w:multiLevelType w:val="hybridMultilevel"/>
    <w:tmpl w:val="9238F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A5465CB"/>
    <w:multiLevelType w:val="hybridMultilevel"/>
    <w:tmpl w:val="C3005AE0"/>
    <w:lvl w:ilvl="0" w:tplc="972E6BAA">
      <w:start w:val="1"/>
      <w:numFmt w:val="bullet"/>
      <w:lvlText w:val="•"/>
      <w:lvlJc w:val="left"/>
      <w:pPr>
        <w:tabs>
          <w:tab w:val="num" w:pos="720"/>
        </w:tabs>
        <w:ind w:left="720" w:hanging="360"/>
      </w:pPr>
      <w:rPr>
        <w:rFonts w:ascii="Arial" w:hAnsi="Arial" w:hint="default"/>
      </w:rPr>
    </w:lvl>
    <w:lvl w:ilvl="1" w:tplc="C6AA04E6" w:tentative="1">
      <w:start w:val="1"/>
      <w:numFmt w:val="bullet"/>
      <w:lvlText w:val="•"/>
      <w:lvlJc w:val="left"/>
      <w:pPr>
        <w:tabs>
          <w:tab w:val="num" w:pos="1440"/>
        </w:tabs>
        <w:ind w:left="1440" w:hanging="360"/>
      </w:pPr>
      <w:rPr>
        <w:rFonts w:ascii="Arial" w:hAnsi="Arial" w:hint="default"/>
      </w:rPr>
    </w:lvl>
    <w:lvl w:ilvl="2" w:tplc="35A2DB94">
      <w:start w:val="1"/>
      <w:numFmt w:val="bullet"/>
      <w:lvlText w:val="•"/>
      <w:lvlJc w:val="left"/>
      <w:pPr>
        <w:tabs>
          <w:tab w:val="num" w:pos="2160"/>
        </w:tabs>
        <w:ind w:left="2160" w:hanging="360"/>
      </w:pPr>
      <w:rPr>
        <w:rFonts w:ascii="Arial" w:hAnsi="Arial" w:hint="default"/>
      </w:rPr>
    </w:lvl>
    <w:lvl w:ilvl="3" w:tplc="45705C32" w:tentative="1">
      <w:start w:val="1"/>
      <w:numFmt w:val="bullet"/>
      <w:lvlText w:val="•"/>
      <w:lvlJc w:val="left"/>
      <w:pPr>
        <w:tabs>
          <w:tab w:val="num" w:pos="2880"/>
        </w:tabs>
        <w:ind w:left="2880" w:hanging="360"/>
      </w:pPr>
      <w:rPr>
        <w:rFonts w:ascii="Arial" w:hAnsi="Arial" w:hint="default"/>
      </w:rPr>
    </w:lvl>
    <w:lvl w:ilvl="4" w:tplc="57D88622" w:tentative="1">
      <w:start w:val="1"/>
      <w:numFmt w:val="bullet"/>
      <w:lvlText w:val="•"/>
      <w:lvlJc w:val="left"/>
      <w:pPr>
        <w:tabs>
          <w:tab w:val="num" w:pos="3600"/>
        </w:tabs>
        <w:ind w:left="3600" w:hanging="360"/>
      </w:pPr>
      <w:rPr>
        <w:rFonts w:ascii="Arial" w:hAnsi="Arial" w:hint="default"/>
      </w:rPr>
    </w:lvl>
    <w:lvl w:ilvl="5" w:tplc="27681326" w:tentative="1">
      <w:start w:val="1"/>
      <w:numFmt w:val="bullet"/>
      <w:lvlText w:val="•"/>
      <w:lvlJc w:val="left"/>
      <w:pPr>
        <w:tabs>
          <w:tab w:val="num" w:pos="4320"/>
        </w:tabs>
        <w:ind w:left="4320" w:hanging="360"/>
      </w:pPr>
      <w:rPr>
        <w:rFonts w:ascii="Arial" w:hAnsi="Arial" w:hint="default"/>
      </w:rPr>
    </w:lvl>
    <w:lvl w:ilvl="6" w:tplc="0E8EE2B2" w:tentative="1">
      <w:start w:val="1"/>
      <w:numFmt w:val="bullet"/>
      <w:lvlText w:val="•"/>
      <w:lvlJc w:val="left"/>
      <w:pPr>
        <w:tabs>
          <w:tab w:val="num" w:pos="5040"/>
        </w:tabs>
        <w:ind w:left="5040" w:hanging="360"/>
      </w:pPr>
      <w:rPr>
        <w:rFonts w:ascii="Arial" w:hAnsi="Arial" w:hint="default"/>
      </w:rPr>
    </w:lvl>
    <w:lvl w:ilvl="7" w:tplc="5EB488D0" w:tentative="1">
      <w:start w:val="1"/>
      <w:numFmt w:val="bullet"/>
      <w:lvlText w:val="•"/>
      <w:lvlJc w:val="left"/>
      <w:pPr>
        <w:tabs>
          <w:tab w:val="num" w:pos="5760"/>
        </w:tabs>
        <w:ind w:left="5760" w:hanging="360"/>
      </w:pPr>
      <w:rPr>
        <w:rFonts w:ascii="Arial" w:hAnsi="Arial" w:hint="default"/>
      </w:rPr>
    </w:lvl>
    <w:lvl w:ilvl="8" w:tplc="2A067B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9054AC"/>
    <w:multiLevelType w:val="hybridMultilevel"/>
    <w:tmpl w:val="235C0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047969"/>
    <w:multiLevelType w:val="hybridMultilevel"/>
    <w:tmpl w:val="168090C2"/>
    <w:lvl w:ilvl="0" w:tplc="1022311A">
      <w:start w:val="1"/>
      <w:numFmt w:val="decimal"/>
      <w:lvlText w:val="%1."/>
      <w:lvlJc w:val="left"/>
      <w:pPr>
        <w:tabs>
          <w:tab w:val="num" w:pos="720"/>
        </w:tabs>
        <w:ind w:left="720" w:hanging="360"/>
      </w:pPr>
    </w:lvl>
    <w:lvl w:ilvl="1" w:tplc="08282C0C">
      <w:start w:val="1"/>
      <w:numFmt w:val="lowerLetter"/>
      <w:lvlText w:val="%2."/>
      <w:lvlJc w:val="left"/>
      <w:pPr>
        <w:tabs>
          <w:tab w:val="num" w:pos="1440"/>
        </w:tabs>
        <w:ind w:left="1440" w:hanging="360"/>
      </w:pPr>
    </w:lvl>
    <w:lvl w:ilvl="2" w:tplc="3912E31C" w:tentative="1">
      <w:start w:val="1"/>
      <w:numFmt w:val="decimal"/>
      <w:lvlText w:val="%3."/>
      <w:lvlJc w:val="left"/>
      <w:pPr>
        <w:tabs>
          <w:tab w:val="num" w:pos="2160"/>
        </w:tabs>
        <w:ind w:left="2160" w:hanging="360"/>
      </w:pPr>
    </w:lvl>
    <w:lvl w:ilvl="3" w:tplc="3FCCDC64" w:tentative="1">
      <w:start w:val="1"/>
      <w:numFmt w:val="decimal"/>
      <w:lvlText w:val="%4."/>
      <w:lvlJc w:val="left"/>
      <w:pPr>
        <w:tabs>
          <w:tab w:val="num" w:pos="2880"/>
        </w:tabs>
        <w:ind w:left="2880" w:hanging="360"/>
      </w:pPr>
    </w:lvl>
    <w:lvl w:ilvl="4" w:tplc="7B34F3E8" w:tentative="1">
      <w:start w:val="1"/>
      <w:numFmt w:val="decimal"/>
      <w:lvlText w:val="%5."/>
      <w:lvlJc w:val="left"/>
      <w:pPr>
        <w:tabs>
          <w:tab w:val="num" w:pos="3600"/>
        </w:tabs>
        <w:ind w:left="3600" w:hanging="360"/>
      </w:pPr>
    </w:lvl>
    <w:lvl w:ilvl="5" w:tplc="8F58950A" w:tentative="1">
      <w:start w:val="1"/>
      <w:numFmt w:val="decimal"/>
      <w:lvlText w:val="%6."/>
      <w:lvlJc w:val="left"/>
      <w:pPr>
        <w:tabs>
          <w:tab w:val="num" w:pos="4320"/>
        </w:tabs>
        <w:ind w:left="4320" w:hanging="360"/>
      </w:pPr>
    </w:lvl>
    <w:lvl w:ilvl="6" w:tplc="316C4BDC" w:tentative="1">
      <w:start w:val="1"/>
      <w:numFmt w:val="decimal"/>
      <w:lvlText w:val="%7."/>
      <w:lvlJc w:val="left"/>
      <w:pPr>
        <w:tabs>
          <w:tab w:val="num" w:pos="5040"/>
        </w:tabs>
        <w:ind w:left="5040" w:hanging="360"/>
      </w:pPr>
    </w:lvl>
    <w:lvl w:ilvl="7" w:tplc="AB28D152" w:tentative="1">
      <w:start w:val="1"/>
      <w:numFmt w:val="decimal"/>
      <w:lvlText w:val="%8."/>
      <w:lvlJc w:val="left"/>
      <w:pPr>
        <w:tabs>
          <w:tab w:val="num" w:pos="5760"/>
        </w:tabs>
        <w:ind w:left="5760" w:hanging="360"/>
      </w:pPr>
    </w:lvl>
    <w:lvl w:ilvl="8" w:tplc="ABC41E9C" w:tentative="1">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2"/>
  </w:num>
  <w:num w:numId="5">
    <w:abstractNumId w:val="6"/>
  </w:num>
  <w:num w:numId="6">
    <w:abstractNumId w:val="11"/>
  </w:num>
  <w:num w:numId="7">
    <w:abstractNumId w:val="9"/>
  </w:num>
  <w:num w:numId="8">
    <w:abstractNumId w:val="3"/>
  </w:num>
  <w:num w:numId="9">
    <w:abstractNumId w:val="4"/>
    <w:lvlOverride w:ilvl="0">
      <w:startOverride w:val="1"/>
    </w:lvlOverride>
  </w:num>
  <w:num w:numId="10">
    <w:abstractNumId w:val="7"/>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121E"/>
    <w:rsid w:val="0005780E"/>
    <w:rsid w:val="00065CC6"/>
    <w:rsid w:val="000A71F7"/>
    <w:rsid w:val="000D5C52"/>
    <w:rsid w:val="000F09E4"/>
    <w:rsid w:val="000F16FD"/>
    <w:rsid w:val="000F5AAF"/>
    <w:rsid w:val="00143520"/>
    <w:rsid w:val="0014472C"/>
    <w:rsid w:val="00153AD2"/>
    <w:rsid w:val="001779EA"/>
    <w:rsid w:val="001D3246"/>
    <w:rsid w:val="002279BA"/>
    <w:rsid w:val="002329F3"/>
    <w:rsid w:val="00243F0D"/>
    <w:rsid w:val="00260767"/>
    <w:rsid w:val="002647BB"/>
    <w:rsid w:val="002754C1"/>
    <w:rsid w:val="002841C8"/>
    <w:rsid w:val="0028516B"/>
    <w:rsid w:val="002C6F90"/>
    <w:rsid w:val="002E3A8C"/>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32B2"/>
    <w:rsid w:val="00537A1F"/>
    <w:rsid w:val="00566029"/>
    <w:rsid w:val="005923CB"/>
    <w:rsid w:val="005B391B"/>
    <w:rsid w:val="005D3D78"/>
    <w:rsid w:val="005E2EF0"/>
    <w:rsid w:val="005F4092"/>
    <w:rsid w:val="00612C70"/>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57B50"/>
    <w:rsid w:val="00860115"/>
    <w:rsid w:val="0088783C"/>
    <w:rsid w:val="009370BC"/>
    <w:rsid w:val="00970580"/>
    <w:rsid w:val="00981581"/>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13BF"/>
    <w:rsid w:val="00B53229"/>
    <w:rsid w:val="00B62480"/>
    <w:rsid w:val="00B75A82"/>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62B7D"/>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981581"/>
    <w:pPr>
      <w:spacing w:after="0" w:line="240" w:lineRule="auto"/>
      <w:ind w:left="720"/>
      <w:contextualSpacing/>
    </w:pPr>
    <w:rPr>
      <w:rFonts w:ascii="Verdana" w:hAnsi="Verdana" w:cs="Times New Roman (Body CS)"/>
      <w:sz w:val="24"/>
      <w:szCs w:val="24"/>
      <w:lang w:val="en-AU"/>
    </w:rPr>
  </w:style>
  <w:style w:type="character" w:styleId="UnresolvedMention">
    <w:name w:val="Unresolved Mention"/>
    <w:basedOn w:val="DefaultParagraphFont"/>
    <w:uiPriority w:val="99"/>
    <w:semiHidden/>
    <w:unhideWhenUsed/>
    <w:rsid w:val="0098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AUSSTATS/abs@.nsf/DetailsPage/4102.02000?OpenDocu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D1522-366B-43B0-86DB-0834CDAAB306}"/>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Concepts and Skills Resources – Teacher Notes – Continuity and Change 9–10</dc:title>
  <dc:creator>vcaa@education.vic.gov.au</dc:creator>
  <cp:keywords>Victorian Curriculum; History; Historical Concepts and Skills; Continuity and Change; Level 9; Level 10</cp:keywords>
  <cp:lastModifiedBy>Samantha Anderson 2</cp:lastModifiedBy>
  <cp:revision>7</cp:revision>
  <cp:lastPrinted>2015-05-15T02:36:00Z</cp:lastPrinted>
  <dcterms:created xsi:type="dcterms:W3CDTF">2021-09-10T06:45:00Z</dcterms:created>
  <dcterms:modified xsi:type="dcterms:W3CDTF">2021-09-30T04:00:00Z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